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sz w:val="24"/>
        </w:rPr>
      </w:pPr>
      <w:r>
        <w:rPr>
          <w:rFonts w:hint="eastAsia" w:ascii="Calibri" w:hAnsi="Calibri" w:eastAsia="宋体" w:cs="Times New Roman"/>
          <w:kern w:val="2"/>
          <w:sz w:val="21"/>
          <w:szCs w:val="24"/>
          <w:lang w:val="en-US" w:eastAsia="zh-CN" w:bidi="ar-SA"/>
        </w:rPr>
        <w:drawing>
          <wp:inline distT="0" distB="0" distL="114300" distR="114300">
            <wp:extent cx="5992495" cy="1260475"/>
            <wp:effectExtent l="0" t="0" r="8255"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lum/>
                    </a:blip>
                    <a:stretch>
                      <a:fillRect/>
                    </a:stretch>
                  </pic:blipFill>
                  <pic:spPr>
                    <a:xfrm>
                      <a:off x="0" y="0"/>
                      <a:ext cx="5992495" cy="1260475"/>
                    </a:xfrm>
                    <a:prstGeom prst="rect">
                      <a:avLst/>
                    </a:prstGeom>
                    <a:noFill/>
                    <a:ln>
                      <a:noFill/>
                    </a:ln>
                  </pic:spPr>
                </pic:pic>
              </a:graphicData>
            </a:graphic>
          </wp:inline>
        </w:drawing>
      </w:r>
    </w:p>
    <w:p>
      <w:pPr>
        <w:jc w:val="center"/>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粤制协〔202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w:t>
      </w:r>
    </w:p>
    <w:p>
      <w:pPr>
        <w:spacing w:line="560" w:lineRule="exact"/>
        <w:rPr>
          <w:rFonts w:ascii="宋体" w:hAnsi="宋体"/>
          <w:color w:val="FF0000"/>
          <w:sz w:val="20"/>
        </w:rPr>
      </w:pPr>
      <w:r>
        <w:rPr>
          <w:rFonts w:ascii="宋体" w:hAnsi="宋体" w:eastAsia="宋体" w:cs="Times New Roman"/>
          <w:color w:val="FF0000"/>
          <w:kern w:val="2"/>
          <w:sz w:val="20"/>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-92710</wp:posOffset>
                </wp:positionH>
                <wp:positionV relativeFrom="paragraph">
                  <wp:posOffset>95250</wp:posOffset>
                </wp:positionV>
                <wp:extent cx="6096635" cy="8890"/>
                <wp:effectExtent l="0" t="0" r="0" b="0"/>
                <wp:wrapNone/>
                <wp:docPr id="1" name="Line 3"/>
                <wp:cNvGraphicFramePr/>
                <a:graphic xmlns:a="http://schemas.openxmlformats.org/drawingml/2006/main">
                  <a:graphicData uri="http://schemas.microsoft.com/office/word/2010/wordprocessingShape">
                    <wps:wsp>
                      <wps:cNvCnPr/>
                      <wps:spPr>
                        <a:xfrm flipV="1">
                          <a:off x="0" y="0"/>
                          <a:ext cx="6096635" cy="8890"/>
                        </a:xfrm>
                        <a:prstGeom prst="line">
                          <a:avLst/>
                        </a:prstGeom>
                        <a:ln w="28575" cap="flat" cmpd="sng">
                          <a:solidFill>
                            <a:srgbClr val="C00000">
                              <a:alpha val="100000"/>
                            </a:srgbClr>
                          </a:solidFill>
                          <a:prstDash val="solid"/>
                          <a:headEnd type="none" w="med" len="med"/>
                          <a:tailEnd type="none" w="med" len="med"/>
                        </a:ln>
                      </wps:spPr>
                      <wps:bodyPr upright="0"/>
                    </wps:wsp>
                  </a:graphicData>
                </a:graphic>
              </wp:anchor>
            </w:drawing>
          </mc:Choice>
          <mc:Fallback>
            <w:pict>
              <v:line id="Line 3" o:spid="_x0000_s1026" o:spt="20" style="position:absolute;left:0pt;flip:y;margin-left:-7.3pt;margin-top:7.5pt;height:0.7pt;width:480.05pt;z-index:251660288;mso-width-relative:page;mso-height-relative:page;" filled="f" stroked="t" coordsize="21600,21600" o:gfxdata="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b+tvdcAAAAJAQAADwAAAAAAAAABACAAAAAiAAAAZHJzL2Rvd25yZXYueG1sUEsBAhQA&#10;FAAAAAgAh07iQEpHNyHzAQAACQQAAA4AAAAAAAAAAQAgAAAAJgEAAGRycy9lMm9Eb2MueG1sUEsF&#10;BgAAAAAGAAYAWQEAAIsFAAAAAA==&#10;">
                <v:fill on="f" focussize="0,0"/>
                <v:stroke weight="2.25pt" color="#C00000" joinstyle="round"/>
                <v:imagedata o:title=""/>
                <o:lock v:ext="edit" aspectratio="f"/>
              </v:line>
            </w:pict>
          </mc:Fallback>
        </mc:AlternateContent>
      </w:r>
    </w:p>
    <w:p>
      <w:pPr>
        <w:rPr>
          <w:rFonts w:ascii="宋体" w:hAnsi="宋体" w:cs="宋体"/>
          <w:b/>
          <w:bCs/>
        </w:rPr>
      </w:pP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关于申报“202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年广东省制造业500强”</w:t>
      </w: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企业排序发布的通知</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各地市工业和信息化局、协（商）会、工业园区、有关企业：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sectPr>
          <w:footerReference r:id="rId3" w:type="default"/>
          <w:pgSz w:w="11906" w:h="16838"/>
          <w:pgMar w:top="3402" w:right="1417" w:bottom="1984" w:left="1417" w:header="851" w:footer="992" w:gutter="0"/>
          <w:pgNumType w:fmt="decimal"/>
          <w:cols w:space="0" w:num="1"/>
          <w:formProt w:val="1"/>
          <w:rtlGutter w:val="0"/>
          <w:docGrid w:type="lines" w:linePitch="318" w:charSpace="0"/>
        </w:sectPr>
      </w:pPr>
      <w:r>
        <w:rPr>
          <w:rFonts w:hint="eastAsia" w:ascii="仿宋_GB2312" w:hAnsi="仿宋_GB2312" w:eastAsia="仿宋_GB2312" w:cs="仿宋_GB2312"/>
          <w:color w:val="auto"/>
          <w:sz w:val="32"/>
          <w:szCs w:val="32"/>
        </w:rPr>
        <w:t>为深入学习贯彻党的二十大精神，贯彻《中共广东省委 广东省人民政府关于推动制造业高质量发展的意见》等文件精神，落实省委、省政府关</w:t>
      </w:r>
      <w:r>
        <w:rPr>
          <w:rFonts w:hint="eastAsia" w:ascii="仿宋" w:hAnsi="仿宋" w:eastAsia="仿宋" w:cs="仿宋"/>
          <w:color w:val="auto"/>
          <w:sz w:val="32"/>
          <w:szCs w:val="32"/>
        </w:rPr>
        <w:t>于“推动制造业高质量发展”</w:t>
      </w:r>
      <w:r>
        <w:rPr>
          <w:rFonts w:hint="eastAsia" w:ascii="仿宋" w:hAnsi="仿宋" w:eastAsia="仿宋" w:cs="仿宋"/>
          <w:color w:val="auto"/>
          <w:sz w:val="32"/>
          <w:szCs w:val="32"/>
          <w:lang w:val="en-US" w:eastAsia="zh-CN"/>
        </w:rPr>
        <w:t>及</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制造业当家</w:t>
      </w:r>
      <w:r>
        <w:rPr>
          <w:rFonts w:hint="eastAsia" w:ascii="仿宋" w:hAnsi="仿宋" w:eastAsia="仿宋" w:cs="仿宋"/>
          <w:color w:val="auto"/>
          <w:sz w:val="32"/>
          <w:szCs w:val="32"/>
        </w:rPr>
        <w:t>”工作部署</w:t>
      </w:r>
      <w:r>
        <w:rPr>
          <w:rFonts w:hint="eastAsia" w:ascii="仿宋" w:hAnsi="仿宋" w:eastAsia="仿宋" w:cs="仿宋"/>
          <w:color w:val="auto"/>
          <w:sz w:val="32"/>
          <w:szCs w:val="32"/>
          <w:lang w:eastAsia="zh-CN"/>
        </w:rPr>
        <w:t>，</w:t>
      </w:r>
      <w:r>
        <w:rPr>
          <w:rFonts w:hint="eastAsia" w:ascii="仿宋" w:hAnsi="仿宋" w:eastAsia="仿宋" w:cs="仿宋"/>
          <w:b w:val="0"/>
          <w:i w:val="0"/>
          <w:color w:val="auto"/>
          <w:sz w:val="32"/>
          <w:szCs w:val="32"/>
          <w:shd w:val="clear" w:color="auto" w:fill="FFFFFF"/>
        </w:rPr>
        <w:t>准确把握新阶段、新理念和新格局</w:t>
      </w:r>
      <w:r>
        <w:rPr>
          <w:rFonts w:hint="eastAsia" w:ascii="仿宋" w:hAnsi="仿宋" w:eastAsia="仿宋" w:cs="仿宋"/>
          <w:color w:val="auto"/>
          <w:sz w:val="32"/>
          <w:szCs w:val="32"/>
          <w:lang w:eastAsia="zh-CN"/>
        </w:rPr>
        <w:t>，</w:t>
      </w:r>
      <w:r>
        <w:rPr>
          <w:rFonts w:hint="eastAsia" w:ascii="仿宋_GB2312" w:hAnsi="仿宋_GB2312" w:eastAsia="仿宋_GB2312" w:cs="仿宋_GB2312"/>
          <w:color w:val="auto"/>
          <w:sz w:val="32"/>
          <w:szCs w:val="32"/>
        </w:rPr>
        <w:t>推动我省制造业大企业壮大规模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增强实力，</w:t>
      </w:r>
      <w:r>
        <w:rPr>
          <w:rFonts w:hint="eastAsia" w:ascii="仿宋_GB2312" w:hAnsi="仿宋_GB2312" w:eastAsia="仿宋_GB2312" w:cs="仿宋_GB2312"/>
          <w:color w:val="auto"/>
          <w:sz w:val="32"/>
          <w:szCs w:val="32"/>
          <w:lang w:eastAsia="zh-CN"/>
        </w:rPr>
        <w:t>推进</w:t>
      </w:r>
      <w:r>
        <w:rPr>
          <w:rFonts w:hint="eastAsia" w:ascii="仿宋_GB2312" w:hAnsi="仿宋_GB2312" w:eastAsia="仿宋_GB2312" w:cs="仿宋_GB2312"/>
          <w:color w:val="auto"/>
          <w:sz w:val="32"/>
          <w:szCs w:val="32"/>
        </w:rPr>
        <w:t>我省制造业产业发展战略和政策研究，为政府相关部门掌握我省制造业大企业发展状况提供决策参考，</w:t>
      </w:r>
      <w:r>
        <w:rPr>
          <w:rFonts w:hint="eastAsia" w:ascii="仿宋_GB2312" w:hAnsi="仿宋_GB2312" w:eastAsia="仿宋_GB2312" w:cs="仿宋_GB2312"/>
          <w:sz w:val="32"/>
          <w:szCs w:val="32"/>
        </w:rPr>
        <w:t>在省工业和信息化厅、省发展</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改革委、省商务厅的指导下，在2013年至202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年连续发布“广东省制造业500强”企业</w:t>
      </w:r>
      <w:r>
        <w:rPr>
          <w:rFonts w:hint="eastAsia" w:ascii="仿宋_GB2312" w:hAnsi="仿宋_GB2312" w:eastAsia="仿宋_GB2312" w:cs="仿宋_GB2312"/>
          <w:sz w:val="32"/>
          <w:szCs w:val="32"/>
          <w:lang w:val="en-US" w:eastAsia="zh-CN"/>
        </w:rPr>
        <w:t>排序</w:t>
      </w:r>
      <w:r>
        <w:rPr>
          <w:rFonts w:hint="eastAsia" w:ascii="仿宋_GB2312" w:hAnsi="仿宋_GB2312" w:eastAsia="仿宋_GB2312" w:cs="仿宋_GB2312"/>
          <w:sz w:val="32"/>
          <w:szCs w:val="32"/>
        </w:rPr>
        <w:t>的基础上，省制造业协会、省发展</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改革研究院、暨大产</w:t>
      </w:r>
    </w:p>
    <w:p>
      <w:pPr>
        <w:widowControl/>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业经济研究院</w:t>
      </w:r>
      <w:r>
        <w:rPr>
          <w:rFonts w:hint="eastAsia" w:ascii="仿宋_GB2312" w:hAnsi="仿宋_GB2312" w:eastAsia="仿宋_GB2312" w:cs="仿宋_GB2312"/>
          <w:sz w:val="32"/>
          <w:szCs w:val="32"/>
          <w:lang w:eastAsia="zh-CN"/>
        </w:rPr>
        <w:t>今年</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eastAsia="zh-CN"/>
        </w:rPr>
        <w:t>再接再厉，</w:t>
      </w:r>
      <w:r>
        <w:rPr>
          <w:rFonts w:hint="eastAsia" w:ascii="仿宋_GB2312" w:hAnsi="仿宋_GB2312" w:eastAsia="仿宋_GB2312" w:cs="仿宋_GB2312"/>
          <w:sz w:val="32"/>
          <w:szCs w:val="32"/>
        </w:rPr>
        <w:t>继续开展“广东省制造业500强”企业排序分析研究和发布活动。</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年“广东省制造业500强”企业排序活动，将</w:t>
      </w:r>
      <w:r>
        <w:rPr>
          <w:rFonts w:hint="eastAsia" w:ascii="仿宋_GB2312" w:hAnsi="仿宋_GB2312" w:eastAsia="仿宋_GB2312" w:cs="仿宋_GB2312"/>
          <w:sz w:val="32"/>
          <w:szCs w:val="32"/>
          <w:lang w:eastAsia="zh-CN"/>
        </w:rPr>
        <w:t>坚持</w:t>
      </w:r>
      <w:r>
        <w:rPr>
          <w:rFonts w:hint="eastAsia" w:ascii="仿宋_GB2312" w:hAnsi="仿宋_GB2312" w:eastAsia="仿宋_GB2312" w:cs="仿宋_GB2312"/>
          <w:sz w:val="32"/>
          <w:szCs w:val="32"/>
        </w:rPr>
        <w:t>“科学、权威、专业、公正、广泛”的评选原则，由评审专家委员会参照国际通行的方式，以202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年企业营业收入以及其他相关指标、数据为依据，对申报企业进行评审遴选，最终确定202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年广东省制造业500强企业, 并由主办方免费颁发202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年广东省制造业500强荣誉证书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历届“广东省制造业500强”企业排序发布活动介绍内容</w:t>
      </w:r>
      <w:r>
        <w:rPr>
          <w:rFonts w:hint="eastAsia" w:ascii="仿宋_GB2312" w:hAnsi="仿宋_GB2312" w:eastAsia="仿宋_GB2312" w:cs="仿宋_GB2312"/>
          <w:sz w:val="32"/>
          <w:szCs w:val="32"/>
          <w:lang w:val="en-US" w:eastAsia="zh-CN"/>
        </w:rPr>
        <w:t>详见附件3或</w:t>
      </w:r>
      <w:r>
        <w:rPr>
          <w:rFonts w:hint="eastAsia" w:ascii="仿宋_GB2312" w:hAnsi="仿宋_GB2312" w:eastAsia="仿宋_GB2312" w:cs="仿宋_GB2312"/>
          <w:sz w:val="32"/>
          <w:szCs w:val="32"/>
        </w:rPr>
        <w:t>登陆南方制造业网：</w:t>
      </w:r>
      <w:r>
        <w:rPr>
          <w:rFonts w:hint="eastAsia" w:ascii="仿宋_GB2312" w:hAnsi="仿宋_GB2312" w:eastAsia="仿宋_GB2312" w:cs="仿宋_GB2312"/>
          <w:bCs/>
          <w:sz w:val="32"/>
          <w:szCs w:val="32"/>
        </w:rPr>
        <w:t>www.cngma.com</w:t>
      </w:r>
      <w:r>
        <w:rPr>
          <w:rFonts w:hint="eastAsia" w:ascii="仿宋_GB2312" w:hAnsi="仿宋_GB2312" w:eastAsia="仿宋_GB2312" w:cs="仿宋_GB2312"/>
          <w:bCs/>
          <w:sz w:val="32"/>
          <w:szCs w:val="32"/>
          <w:lang w:val="en-US" w:eastAsia="zh-CN"/>
        </w:rPr>
        <w:t>查阅</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w:t>
      </w:r>
    </w:p>
    <w:p>
      <w:pPr>
        <w:widowControl/>
        <w:spacing w:line="560" w:lineRule="exact"/>
        <w:ind w:firstLine="643"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sz w:val="32"/>
          <w:szCs w:val="32"/>
        </w:rPr>
        <w:t>本活动主办方不向申报企业收取报名费和评审费。</w:t>
      </w:r>
      <w:r>
        <w:rPr>
          <w:rFonts w:hint="eastAsia" w:ascii="仿宋_GB2312" w:hAnsi="仿宋_GB2312" w:eastAsia="仿宋_GB2312" w:cs="仿宋_GB2312"/>
          <w:sz w:val="32"/>
          <w:szCs w:val="32"/>
        </w:rPr>
        <w:t>排序结果及研究报告将在“202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年广东省制造业发展年会暨广东制造业500强企业峰会”上予以发布</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峰</w:t>
      </w:r>
      <w:r>
        <w:rPr>
          <w:rFonts w:hint="eastAsia" w:ascii="仿宋_GB2312" w:hAnsi="仿宋_GB2312" w:eastAsia="仿宋_GB2312" w:cs="仿宋_GB2312"/>
          <w:b/>
          <w:bCs/>
          <w:sz w:val="32"/>
          <w:szCs w:val="32"/>
        </w:rPr>
        <w:t>会</w:t>
      </w:r>
      <w:r>
        <w:rPr>
          <w:rFonts w:hint="eastAsia" w:ascii="仿宋_GB2312" w:hAnsi="仿宋_GB2312" w:eastAsia="仿宋_GB2312" w:cs="仿宋_GB2312"/>
          <w:b/>
          <w:bCs/>
          <w:sz w:val="32"/>
          <w:szCs w:val="32"/>
          <w:lang w:val="en-US" w:eastAsia="zh-CN"/>
        </w:rPr>
        <w:t>拟定于2023年9月举办，</w:t>
      </w:r>
      <w:r>
        <w:rPr>
          <w:rFonts w:hint="eastAsia" w:ascii="仿宋_GB2312" w:hAnsi="仿宋_GB2312" w:eastAsia="仿宋_GB2312" w:cs="仿宋_GB2312"/>
          <w:b/>
          <w:bCs/>
          <w:sz w:val="32"/>
          <w:szCs w:val="32"/>
          <w:lang w:eastAsia="zh-CN"/>
        </w:rPr>
        <w:t>有关事</w:t>
      </w:r>
      <w:r>
        <w:rPr>
          <w:rFonts w:hint="eastAsia" w:ascii="仿宋_GB2312" w:hAnsi="仿宋_GB2312" w:eastAsia="仿宋_GB2312" w:cs="仿宋_GB2312"/>
          <w:b/>
          <w:bCs/>
          <w:sz w:val="32"/>
          <w:szCs w:val="32"/>
          <w:lang w:val="en-US" w:eastAsia="zh-CN"/>
        </w:rPr>
        <w:t>宜</w:t>
      </w:r>
      <w:r>
        <w:rPr>
          <w:rFonts w:hint="eastAsia" w:ascii="仿宋_GB2312" w:hAnsi="仿宋_GB2312" w:eastAsia="仿宋_GB2312" w:cs="仿宋_GB2312"/>
          <w:b/>
          <w:bCs/>
          <w:sz w:val="32"/>
          <w:szCs w:val="32"/>
        </w:rPr>
        <w:t>将另行通知）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届时，将邀请省市政府及相关部门领导出席会议并举行发布仪式。</w:t>
      </w:r>
      <w:r>
        <w:rPr>
          <w:rFonts w:hint="eastAsia" w:ascii="仿宋_GB2312" w:hAnsi="仿宋_GB2312" w:eastAsia="仿宋_GB2312" w:cs="仿宋_GB2312"/>
          <w:sz w:val="32"/>
          <w:szCs w:val="32"/>
          <w:lang w:eastAsia="zh-CN"/>
        </w:rPr>
        <w:t>请我省</w:t>
      </w:r>
      <w:r>
        <w:rPr>
          <w:rFonts w:hint="eastAsia" w:ascii="仿宋_GB2312" w:hAnsi="仿宋_GB2312" w:eastAsia="仿宋_GB2312" w:cs="仿宋_GB2312"/>
          <w:sz w:val="32"/>
          <w:szCs w:val="32"/>
        </w:rPr>
        <w:t>制造业相关企业按要求及时申报</w:t>
      </w:r>
      <w:r>
        <w:rPr>
          <w:rFonts w:hint="eastAsia" w:ascii="仿宋_GB2312" w:hAnsi="仿宋_GB2312" w:eastAsia="仿宋_GB2312" w:cs="仿宋_GB2312"/>
          <w:sz w:val="32"/>
          <w:szCs w:val="32"/>
          <w:lang w:eastAsia="zh-CN"/>
        </w:rPr>
        <w:t>，支持活动主办方</w:t>
      </w:r>
      <w:r>
        <w:rPr>
          <w:rFonts w:hint="eastAsia" w:ascii="仿宋_GB2312" w:hAnsi="仿宋_GB2312" w:eastAsia="仿宋_GB2312" w:cs="仿宋_GB2312"/>
          <w:sz w:val="32"/>
          <w:szCs w:val="32"/>
        </w:rPr>
        <w:t>做好202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年“广东省制造业500强”排序有关工作</w:t>
      </w:r>
      <w:r>
        <w:rPr>
          <w:rFonts w:hint="eastAsia" w:ascii="仿宋_GB2312" w:hAnsi="仿宋_GB2312" w:eastAsia="仿宋_GB2312" w:cs="仿宋_GB2312"/>
          <w:sz w:val="32"/>
          <w:szCs w:val="32"/>
          <w:lang w:eastAsia="zh-CN"/>
        </w:rPr>
        <w:t>。现</w:t>
      </w:r>
      <w:r>
        <w:rPr>
          <w:rFonts w:hint="eastAsia" w:ascii="仿宋_GB2312" w:hAnsi="仿宋_GB2312" w:eastAsia="仿宋_GB2312" w:cs="仿宋_GB2312"/>
          <w:sz w:val="32"/>
          <w:szCs w:val="32"/>
        </w:rPr>
        <w:t xml:space="preserve">将有关事项通知如下： </w:t>
      </w:r>
    </w:p>
    <w:p>
      <w:pPr>
        <w:widowControl/>
        <w:numPr>
          <w:ilvl w:val="0"/>
          <w:numId w:val="1"/>
        </w:numPr>
        <w:spacing w:line="560" w:lineRule="exact"/>
        <w:ind w:firstLine="640" w:firstLineChars="200"/>
        <w:rPr>
          <w:rFonts w:hint="eastAsia" w:ascii="黑体" w:hAnsi="黑体" w:eastAsia="黑体" w:cs="黑体"/>
          <w:sz w:val="32"/>
          <w:szCs w:val="32"/>
          <w:shd w:val="clear" w:color="auto" w:fill="FFFFFF"/>
        </w:rPr>
      </w:pPr>
      <w:r>
        <w:rPr>
          <w:rFonts w:hint="eastAsia" w:ascii="黑体" w:hAnsi="黑体" w:eastAsia="黑体" w:cs="黑体"/>
          <w:sz w:val="32"/>
          <w:szCs w:val="32"/>
          <w:shd w:val="clear" w:color="auto" w:fill="FFFFFF"/>
        </w:rPr>
        <w:t>申报资格</w:t>
      </w:r>
    </w:p>
    <w:p>
      <w:pPr>
        <w:widowControl/>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凡在广东省内注册，202</w:t>
      </w:r>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年完成营业收入达到2亿元（含2亿元）以上的制造业企业，均可申报。申报企业如属于集团公司的控股子公司或相对控股子公司，只能由母公司申报。为了保证排序结果的客观公正，申报企业均</w:t>
      </w:r>
      <w:r>
        <w:rPr>
          <w:rFonts w:hint="eastAsia" w:ascii="仿宋_GB2312" w:hAnsi="仿宋_GB2312" w:eastAsia="仿宋_GB2312" w:cs="仿宋_GB2312"/>
          <w:sz w:val="32"/>
          <w:szCs w:val="32"/>
          <w:shd w:val="clear" w:color="auto" w:fill="FFFFFF"/>
          <w:lang w:eastAsia="zh-CN"/>
        </w:rPr>
        <w:t>应</w:t>
      </w:r>
      <w:r>
        <w:rPr>
          <w:rFonts w:hint="eastAsia" w:ascii="仿宋_GB2312" w:hAnsi="仿宋_GB2312" w:eastAsia="仿宋_GB2312" w:cs="仿宋_GB2312"/>
          <w:sz w:val="32"/>
          <w:szCs w:val="32"/>
          <w:shd w:val="clear" w:color="auto" w:fill="FFFFFF"/>
        </w:rPr>
        <w:t>提供真实数据材料，凡提供申报表数据不完整或无法确认的企业，均不具有排序资格。</w:t>
      </w:r>
      <w:r>
        <w:rPr>
          <w:rFonts w:hint="eastAsia" w:ascii="仿宋_GB2312" w:hAnsi="仿宋_GB2312" w:eastAsia="仿宋_GB2312" w:cs="仿宋_GB2312"/>
          <w:sz w:val="32"/>
          <w:szCs w:val="32"/>
          <w:shd w:val="clear" w:color="auto" w:fill="FFFFFF"/>
          <w:lang w:val="en-US" w:eastAsia="zh-CN"/>
        </w:rPr>
        <w:t>对</w:t>
      </w:r>
      <w:r>
        <w:rPr>
          <w:rFonts w:hint="eastAsia" w:ascii="仿宋_GB2312" w:hAnsi="仿宋_GB2312" w:eastAsia="仿宋_GB2312" w:cs="仿宋_GB2312"/>
          <w:sz w:val="32"/>
          <w:szCs w:val="32"/>
          <w:shd w:val="clear" w:color="auto" w:fill="FFFFFF"/>
        </w:rPr>
        <w:t>因提供不真实数据资料而进入本排序前500名的企业，一经查</w:t>
      </w:r>
      <w:r>
        <w:rPr>
          <w:rFonts w:hint="eastAsia" w:ascii="仿宋_GB2312" w:hAnsi="仿宋_GB2312" w:eastAsia="仿宋_GB2312" w:cs="仿宋_GB2312"/>
          <w:sz w:val="32"/>
          <w:szCs w:val="32"/>
          <w:shd w:val="clear" w:color="auto" w:fill="FFFFFF"/>
          <w:lang w:val="en-US" w:eastAsia="zh-CN"/>
        </w:rPr>
        <w:t>实</w:t>
      </w:r>
      <w:r>
        <w:rPr>
          <w:rFonts w:hint="eastAsia" w:ascii="仿宋_GB2312" w:hAnsi="仿宋_GB2312" w:eastAsia="仿宋_GB2312" w:cs="仿宋_GB2312"/>
          <w:sz w:val="32"/>
          <w:szCs w:val="32"/>
          <w:shd w:val="clear" w:color="auto" w:fill="FFFFFF"/>
        </w:rPr>
        <w:t>，主办方</w:t>
      </w:r>
      <w:r>
        <w:rPr>
          <w:rFonts w:hint="eastAsia" w:ascii="仿宋_GB2312" w:hAnsi="仿宋_GB2312" w:eastAsia="仿宋_GB2312" w:cs="仿宋_GB2312"/>
          <w:sz w:val="32"/>
          <w:szCs w:val="32"/>
          <w:shd w:val="clear" w:color="auto" w:fill="FFFFFF"/>
          <w:lang w:eastAsia="zh-CN"/>
        </w:rPr>
        <w:t>将</w:t>
      </w:r>
      <w:r>
        <w:rPr>
          <w:rFonts w:hint="eastAsia" w:ascii="仿宋_GB2312" w:hAnsi="仿宋_GB2312" w:eastAsia="仿宋_GB2312" w:cs="仿宋_GB2312"/>
          <w:sz w:val="32"/>
          <w:szCs w:val="32"/>
          <w:shd w:val="clear" w:color="auto" w:fill="FFFFFF"/>
        </w:rPr>
        <w:t>取消其排序称号。</w:t>
      </w:r>
    </w:p>
    <w:p>
      <w:pPr>
        <w:widowControl/>
        <w:spacing w:line="560" w:lineRule="exact"/>
        <w:ind w:firstLine="640" w:firstLineChars="200"/>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二、指标填报</w:t>
      </w:r>
    </w:p>
    <w:p>
      <w:pPr>
        <w:widowControl/>
        <w:spacing w:line="560" w:lineRule="exac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申报企业需填报申报表（见附件1），主要填报营业收入、出口国外营业收入、资产总额、净利润、研发费用、员工总数等指标和企业有关信息。</w:t>
      </w:r>
    </w:p>
    <w:p>
      <w:pPr>
        <w:widowControl/>
        <w:spacing w:line="560" w:lineRule="exact"/>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 xml:space="preserve">    </w:t>
      </w:r>
      <w:r>
        <w:rPr>
          <w:rFonts w:hint="eastAsia" w:ascii="黑体" w:hAnsi="黑体" w:eastAsia="黑体" w:cs="黑体"/>
          <w:sz w:val="32"/>
          <w:szCs w:val="32"/>
          <w:shd w:val="clear" w:color="auto" w:fill="FFFFFF"/>
        </w:rPr>
        <w:t>三、申报方式</w:t>
      </w:r>
    </w:p>
    <w:p>
      <w:pPr>
        <w:widowControl/>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由企业所在地工业和信息化局、有关协（商）会、工业园区推荐或企业自荐申报，企业收到文件通知后请在</w:t>
      </w:r>
      <w:r>
        <w:rPr>
          <w:rFonts w:hint="eastAsia" w:ascii="仿宋_GB2312" w:hAnsi="仿宋_GB2312" w:eastAsia="仿宋_GB2312" w:cs="仿宋_GB2312"/>
          <w:sz w:val="32"/>
          <w:szCs w:val="32"/>
          <w:shd w:val="clear" w:color="auto" w:fill="FFFFFF"/>
          <w:lang w:val="en-US" w:eastAsia="zh-CN"/>
        </w:rPr>
        <w:t>5个工作日内</w:t>
      </w:r>
      <w:r>
        <w:rPr>
          <w:rFonts w:hint="eastAsia" w:ascii="仿宋_GB2312" w:hAnsi="仿宋_GB2312" w:eastAsia="仿宋_GB2312" w:cs="仿宋_GB2312"/>
          <w:sz w:val="32"/>
          <w:szCs w:val="32"/>
          <w:shd w:val="clear" w:color="auto" w:fill="FFFFFF"/>
        </w:rPr>
        <w:t>按附件2的要求，将附件1申报表填好并加盖企业公章后扫描发送到“广东省制造业500强发布工作办公室”邮箱：chngma@163.com。申报表可登陆南方制造网500强专栏（www.cngma.com）下载。</w:t>
      </w:r>
    </w:p>
    <w:p>
      <w:pPr>
        <w:widowControl/>
        <w:spacing w:line="560" w:lineRule="exact"/>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 xml:space="preserve">    四、联系方式</w:t>
      </w:r>
    </w:p>
    <w:p>
      <w:pPr>
        <w:widowControl/>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联系人:冯馨丹、郑颖雯  电  话:020-83837120、83876770    </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传  真:</w:t>
      </w:r>
      <w:r>
        <w:rPr>
          <w:rFonts w:hint="eastAsia" w:ascii="仿宋_GB2312" w:hAnsi="仿宋_GB2312" w:eastAsia="仿宋_GB2312" w:cs="仿宋_GB2312"/>
          <w:sz w:val="32"/>
          <w:szCs w:val="32"/>
        </w:rPr>
        <w:t>020-83876770</w:t>
      </w:r>
      <w:r>
        <w:rPr>
          <w:rFonts w:hint="eastAsia" w:ascii="仿宋_GB2312" w:hAnsi="仿宋_GB2312" w:eastAsia="仿宋_GB2312" w:cs="仿宋_GB2312"/>
          <w:sz w:val="32"/>
          <w:szCs w:val="32"/>
          <w:shd w:val="clear" w:color="auto" w:fill="FFFFFF"/>
        </w:rPr>
        <w:t xml:space="preserve">    邮  箱:</w:t>
      </w:r>
      <w:r>
        <w:rPr>
          <w:rFonts w:hint="eastAsia" w:ascii="仿宋_GB2312" w:hAnsi="仿宋_GB2312" w:eastAsia="仿宋_GB2312" w:cs="仿宋_GB2312"/>
          <w:sz w:val="32"/>
          <w:szCs w:val="32"/>
        </w:rPr>
        <w:t>chngma@163.com</w:t>
      </w:r>
    </w:p>
    <w:p>
      <w:pPr>
        <w:widowControl/>
        <w:spacing w:line="560" w:lineRule="exact"/>
        <w:ind w:left="420" w:left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地  址:广州市荔湾路97号动感小西关10号楼6楼（510170）</w:t>
      </w:r>
    </w:p>
    <w:p>
      <w:pPr>
        <w:widowControl/>
        <w:spacing w:line="560" w:lineRule="exact"/>
        <w:ind w:left="420" w:leftChars="200"/>
        <w:rPr>
          <w:rFonts w:ascii="仿宋_GB2312" w:hAnsi="仿宋_GB2312" w:eastAsia="仿宋_GB2312" w:cs="仿宋_GB2312"/>
          <w:sz w:val="32"/>
          <w:szCs w:val="32"/>
          <w:shd w:val="clear" w:color="auto" w:fill="FFFFFF"/>
        </w:rPr>
      </w:pPr>
    </w:p>
    <w:p>
      <w:pPr>
        <w:widowControl/>
        <w:spacing w:line="560" w:lineRule="exact"/>
        <w:ind w:left="0" w:hanging="43916" w:hangingChars="13724"/>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val="en-US" w:eastAsia="zh-CN"/>
        </w:rPr>
        <w:t xml:space="preserve">    </w:t>
      </w:r>
      <w:r>
        <w:rPr>
          <w:rFonts w:hint="eastAsia" w:ascii="仿宋_GB2312" w:hAnsi="仿宋_GB2312" w:eastAsia="仿宋_GB2312" w:cs="仿宋_GB2312"/>
          <w:sz w:val="32"/>
          <w:szCs w:val="32"/>
          <w:shd w:val="clear" w:color="auto" w:fill="FFFFFF"/>
        </w:rPr>
        <w:t>附件：1</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年“广东省制造业500强”企业排序申报表</w:t>
      </w:r>
    </w:p>
    <w:p>
      <w:pPr>
        <w:widowControl/>
        <w:spacing w:line="560" w:lineRule="exact"/>
        <w:ind w:left="0" w:hanging="43916" w:hangingChars="13724"/>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年“广东省制造业500强”排序申报填表说明</w:t>
      </w:r>
    </w:p>
    <w:p>
      <w:pPr>
        <w:widowControl/>
        <w:spacing w:line="560" w:lineRule="exact"/>
        <w:ind w:left="43912" w:leftChars="760" w:hanging="42316" w:hangingChars="13224"/>
        <w:rPr>
          <w:rFonts w:hint="eastAsia" w:eastAsia="仿宋_GB231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66432" behindDoc="1" locked="0" layoutInCell="1" allowOverlap="1">
            <wp:simplePos x="0" y="0"/>
            <wp:positionH relativeFrom="column">
              <wp:posOffset>4045585</wp:posOffset>
            </wp:positionH>
            <wp:positionV relativeFrom="paragraph">
              <wp:posOffset>355600</wp:posOffset>
            </wp:positionV>
            <wp:extent cx="1476375" cy="1476375"/>
            <wp:effectExtent l="0" t="0" r="9525" b="9525"/>
            <wp:wrapNone/>
            <wp:docPr id="20" name="图片 5" descr="暨南大学产业经济研究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暨南大学产业经济研究院"/>
                    <pic:cNvPicPr>
                      <a:picLocks noChangeAspect="1"/>
                    </pic:cNvPicPr>
                  </pic:nvPicPr>
                  <pic:blipFill>
                    <a:blip r:embed="rId6"/>
                    <a:stretch>
                      <a:fillRect/>
                    </a:stretch>
                  </pic:blipFill>
                  <pic:spPr>
                    <a:xfrm>
                      <a:off x="0" y="0"/>
                      <a:ext cx="1476375" cy="147637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3、历届“广东省制造业500强”排序发布情况</w:t>
      </w:r>
    </w:p>
    <w:p>
      <w:pPr>
        <w:spacing w:line="560" w:lineRule="exact"/>
        <w:ind w:firstLine="0" w:firstLineChars="0"/>
        <w:rPr>
          <w:rFonts w:hint="eastAsia" w:ascii="仿宋_GB2312" w:hAnsi="仿宋_GB2312" w:eastAsia="仿宋_GB2312" w:cs="仿宋_GB2312"/>
          <w:sz w:val="32"/>
          <w:szCs w:val="32"/>
        </w:rPr>
      </w:pPr>
      <w:r>
        <w:rPr>
          <w:rFonts w:hint="default" w:eastAsia="宋体"/>
          <w:lang w:val="en-US" w:eastAsia="zh-CN"/>
        </w:rPr>
        <w:drawing>
          <wp:anchor distT="0" distB="0" distL="114300" distR="114300" simplePos="0" relativeHeight="251665408" behindDoc="1" locked="0" layoutInCell="1" allowOverlap="1">
            <wp:simplePos x="0" y="0"/>
            <wp:positionH relativeFrom="column">
              <wp:posOffset>2016125</wp:posOffset>
            </wp:positionH>
            <wp:positionV relativeFrom="paragraph">
              <wp:posOffset>-25400</wp:posOffset>
            </wp:positionV>
            <wp:extent cx="1476375" cy="1476375"/>
            <wp:effectExtent l="0" t="0" r="9525" b="9525"/>
            <wp:wrapNone/>
            <wp:docPr id="18" name="图片 1" descr="广东省发展和改革研究院 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广东省发展和改革研究院 章"/>
                    <pic:cNvPicPr>
                      <a:picLocks noChangeAspect="1"/>
                    </pic:cNvPicPr>
                  </pic:nvPicPr>
                  <pic:blipFill>
                    <a:blip r:embed="rId7"/>
                    <a:stretch>
                      <a:fillRect/>
                    </a:stretch>
                  </pic:blipFill>
                  <pic:spPr>
                    <a:xfrm>
                      <a:off x="0" y="0"/>
                      <a:ext cx="1476375" cy="1476375"/>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4384" behindDoc="1" locked="0" layoutInCell="1" allowOverlap="1">
            <wp:simplePos x="0" y="0"/>
            <wp:positionH relativeFrom="column">
              <wp:posOffset>271145</wp:posOffset>
            </wp:positionH>
            <wp:positionV relativeFrom="paragraph">
              <wp:posOffset>31750</wp:posOffset>
            </wp:positionV>
            <wp:extent cx="1471295" cy="1471295"/>
            <wp:effectExtent l="0" t="0" r="14605" b="14605"/>
            <wp:wrapNone/>
            <wp:docPr id="6" name="图片 2" descr="制造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制造业章"/>
                    <pic:cNvPicPr>
                      <a:picLocks noChangeAspect="1"/>
                    </pic:cNvPicPr>
                  </pic:nvPicPr>
                  <pic:blipFill>
                    <a:blip r:embed="rId8"/>
                    <a:stretch>
                      <a:fillRect/>
                    </a:stretch>
                  </pic:blipFill>
                  <pic:spPr>
                    <a:xfrm>
                      <a:off x="0" y="0"/>
                      <a:ext cx="1471295" cy="1471295"/>
                    </a:xfrm>
                    <a:prstGeom prst="rect">
                      <a:avLst/>
                    </a:prstGeom>
                    <a:noFill/>
                    <a:ln>
                      <a:noFill/>
                    </a:ln>
                  </pic:spPr>
                </pic:pic>
              </a:graphicData>
            </a:graphic>
          </wp:anchor>
        </w:drawing>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省制造业协会  省发展</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改革研究院</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暨大产业经济研究院   </w:t>
      </w:r>
    </w:p>
    <w:p>
      <w:pPr>
        <w:widowControl/>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p>
    <w:p>
      <w:pPr>
        <w:pStyle w:val="2"/>
        <w:rPr>
          <w:rFonts w:hint="eastAsia"/>
        </w:rPr>
      </w:pPr>
    </w:p>
    <w:p>
      <w:pPr>
        <w:pStyle w:val="2"/>
        <w:rPr>
          <w:rFonts w:hint="eastAsia"/>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抄报：</w:t>
      </w:r>
      <w:r>
        <w:rPr>
          <w:rFonts w:hint="eastAsia" w:ascii="仿宋_GB2312" w:hAnsi="仿宋_GB2312" w:eastAsia="仿宋_GB2312" w:cs="仿宋_GB2312"/>
          <w:spacing w:val="-6"/>
          <w:kern w:val="0"/>
          <w:sz w:val="32"/>
          <w:szCs w:val="32"/>
        </w:rPr>
        <w:t>省工业和信息化厅、省发展</w:t>
      </w:r>
      <w:r>
        <w:rPr>
          <w:rFonts w:hint="eastAsia" w:ascii="仿宋_GB2312" w:hAnsi="仿宋_GB2312" w:eastAsia="仿宋_GB2312" w:cs="仿宋_GB2312"/>
          <w:spacing w:val="-6"/>
          <w:kern w:val="0"/>
          <w:sz w:val="32"/>
          <w:szCs w:val="32"/>
          <w:lang w:val="en-US" w:eastAsia="zh-CN"/>
        </w:rPr>
        <w:t>和</w:t>
      </w:r>
      <w:r>
        <w:rPr>
          <w:rFonts w:hint="eastAsia" w:ascii="仿宋_GB2312" w:hAnsi="仿宋_GB2312" w:eastAsia="仿宋_GB2312" w:cs="仿宋_GB2312"/>
          <w:spacing w:val="-6"/>
          <w:kern w:val="0"/>
          <w:sz w:val="32"/>
          <w:szCs w:val="32"/>
        </w:rPr>
        <w:t>改革委、省商务厅、省国资委</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-106680</wp:posOffset>
                </wp:positionH>
                <wp:positionV relativeFrom="paragraph">
                  <wp:posOffset>20320</wp:posOffset>
                </wp:positionV>
                <wp:extent cx="6012180" cy="10160"/>
                <wp:effectExtent l="0" t="4445" r="7620" b="13970"/>
                <wp:wrapNone/>
                <wp:docPr id="4" name="Line 5"/>
                <wp:cNvGraphicFramePr/>
                <a:graphic xmlns:a="http://schemas.openxmlformats.org/drawingml/2006/main">
                  <a:graphicData uri="http://schemas.microsoft.com/office/word/2010/wordprocessingShape">
                    <wps:wsp>
                      <wps:cNvCnPr/>
                      <wps:spPr>
                        <a:xfrm>
                          <a:off x="0" y="0"/>
                          <a:ext cx="6012180" cy="10160"/>
                        </a:xfrm>
                        <a:prstGeom prst="line">
                          <a:avLst/>
                        </a:prstGeom>
                        <a:ln w="9525" cap="flat" cmpd="sng">
                          <a:solidFill>
                            <a:srgbClr val="000000">
                              <a:alpha val="100000"/>
                            </a:srgbClr>
                          </a:solidFill>
                          <a:prstDash val="solid"/>
                          <a:headEnd type="none" w="med" len="med"/>
                          <a:tailEnd type="none" w="med" len="med"/>
                        </a:ln>
                      </wps:spPr>
                      <wps:bodyPr upright="0"/>
                    </wps:wsp>
                  </a:graphicData>
                </a:graphic>
              </wp:anchor>
            </w:drawing>
          </mc:Choice>
          <mc:Fallback>
            <w:pict>
              <v:line id="Line 5" o:spid="_x0000_s1026" o:spt="20" style="position:absolute;left:0pt;margin-left:-8.4pt;margin-top:1.6pt;height:0.8pt;width:473.4pt;z-index:251663360;mso-width-relative:page;mso-height-relative:page;" filled="f" stroked="t" coordsize="21600,21600" o:gfxdata="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54Gp&#10;1gAAAAcBAAAPAAAAAAAAAAEAIAAAACIAAABkcnMvZG93bnJldi54bWxQSwECFAAUAAAACACHTuJA&#10;Eq8VTOoBAAD/AwAADgAAAAAAAAABACAAAAAlAQAAZHJzL2Uyb0RvYy54bWxQSwUGAAAAAAYABgBZ&#10;AQAAgQUAAAAA&#10;">
                <v:fill on="f" focussize="0,0"/>
                <v:stroke color="#000000" joinstyle="round"/>
                <v:imagedata o:title=""/>
                <o:lock v:ext="edit" aspectratio="f"/>
              </v:line>
            </w:pict>
          </mc:Fallback>
        </mc:AlternateContent>
      </w:r>
      <w:r>
        <w:rPr>
          <w:rFonts w:hint="eastAsia" w:ascii="仿宋_GB2312" w:hAnsi="仿宋_GB2312" w:eastAsia="仿宋_GB2312" w:cs="仿宋_GB2312"/>
          <w:kern w:val="0"/>
          <w:sz w:val="32"/>
          <w:szCs w:val="32"/>
        </w:rPr>
        <w:t>抄送：各地市工业和信息化局、各协（商）会、有关工业园区</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pacing w:val="0"/>
          <w:kern w:val="0"/>
          <w:sz w:val="32"/>
          <w:szCs w:val="32"/>
        </w:rPr>
        <w:sectPr>
          <w:pgSz w:w="11906" w:h="16838"/>
          <w:pgMar w:top="1587" w:right="1417" w:bottom="1134" w:left="1417" w:header="851" w:footer="992" w:gutter="0"/>
          <w:pgNumType w:fmt="decimal"/>
          <w:cols w:space="0" w:num="1"/>
          <w:formProt w:val="1"/>
          <w:rtlGutter w:val="0"/>
          <w:docGrid w:type="lines" w:linePitch="318" w:charSpace="0"/>
        </w:sectPr>
      </w:pPr>
      <w:r>
        <w:rPr>
          <w:rFonts w:hint="eastAsia" w:ascii="仿宋_GB2312" w:hAnsi="仿宋_GB2312" w:eastAsia="仿宋_GB2312" w:cs="仿宋_GB2312"/>
          <w:spacing w:val="0"/>
          <w:kern w:val="2"/>
          <w:sz w:val="32"/>
          <w:szCs w:val="32"/>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373380</wp:posOffset>
                </wp:positionV>
                <wp:extent cx="6012180" cy="635"/>
                <wp:effectExtent l="0" t="0" r="0" b="0"/>
                <wp:wrapNone/>
                <wp:docPr id="3" name="Line 6"/>
                <wp:cNvGraphicFramePr/>
                <a:graphic xmlns:a="http://schemas.openxmlformats.org/drawingml/2006/main">
                  <a:graphicData uri="http://schemas.microsoft.com/office/word/2010/wordprocessingShape">
                    <wps:wsp>
                      <wps:cNvCnPr/>
                      <wps:spPr>
                        <a:xfrm>
                          <a:off x="0" y="0"/>
                          <a:ext cx="6012180" cy="635"/>
                        </a:xfrm>
                        <a:prstGeom prst="line">
                          <a:avLst/>
                        </a:prstGeom>
                        <a:ln w="9525" cap="flat" cmpd="sng">
                          <a:solidFill>
                            <a:srgbClr val="000000">
                              <a:alpha val="100000"/>
                            </a:srgbClr>
                          </a:solidFill>
                          <a:prstDash val="solid"/>
                          <a:headEnd type="none" w="med" len="med"/>
                          <a:tailEnd type="none" w="med" len="med"/>
                        </a:ln>
                      </wps:spPr>
                      <wps:bodyPr upright="0"/>
                    </wps:wsp>
                  </a:graphicData>
                </a:graphic>
              </wp:anchor>
            </w:drawing>
          </mc:Choice>
          <mc:Fallback>
            <w:pict>
              <v:line id="Line 6" o:spid="_x0000_s1026" o:spt="20" style="position:absolute;left:0pt;margin-left:-8.8pt;margin-top:29.4pt;height:0.05pt;width:473.4pt;z-index:251662336;mso-width-relative:page;mso-height-relative:page;" filled="f" stroked="t" coordsize="21600,21600" o:gfxdata="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Ara3nX&#10;AAAACQEAAA8AAAAAAAAAAQAgAAAAIgAAAGRycy9kb3ducmV2LnhtbFBLAQIUABQAAAAIAIdO4kAd&#10;qnAH6AEAAP0DAAAOAAAAAAAAAAEAIAAAACYBAABkcnMvZTJvRG9jLnhtbFBLBQYAAAAABgAGAFkB&#10;AACABQAAAAA=&#10;">
                <v:fill on="f" focussize="0,0"/>
                <v:stroke color="#000000" joinstyle="round"/>
                <v:imagedata o:title=""/>
                <o:lock v:ext="edit" aspectratio="f"/>
              </v:line>
            </w:pict>
          </mc:Fallback>
        </mc:AlternateContent>
      </w:r>
      <w:r>
        <w:rPr>
          <w:rFonts w:hint="eastAsia" w:ascii="仿宋_GB2312" w:hAnsi="仿宋_GB2312" w:eastAsia="仿宋_GB2312" w:cs="仿宋_GB2312"/>
          <w:spacing w:val="0"/>
          <w:kern w:val="0"/>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-111760</wp:posOffset>
                </wp:positionH>
                <wp:positionV relativeFrom="paragraph">
                  <wp:posOffset>6350</wp:posOffset>
                </wp:positionV>
                <wp:extent cx="6012180" cy="8890"/>
                <wp:effectExtent l="0" t="0" r="0" b="0"/>
                <wp:wrapNone/>
                <wp:docPr id="2" name="Line 7"/>
                <wp:cNvGraphicFramePr/>
                <a:graphic xmlns:a="http://schemas.openxmlformats.org/drawingml/2006/main">
                  <a:graphicData uri="http://schemas.microsoft.com/office/word/2010/wordprocessingShape">
                    <wps:wsp>
                      <wps:cNvCnPr/>
                      <wps:spPr>
                        <a:xfrm flipV="1">
                          <a:off x="0" y="0"/>
                          <a:ext cx="6012180" cy="8890"/>
                        </a:xfrm>
                        <a:prstGeom prst="line">
                          <a:avLst/>
                        </a:prstGeom>
                        <a:ln w="9525" cap="flat" cmpd="sng">
                          <a:solidFill>
                            <a:srgbClr val="000000">
                              <a:alpha val="100000"/>
                            </a:srgbClr>
                          </a:solidFill>
                          <a:prstDash val="solid"/>
                          <a:headEnd type="none" w="med" len="med"/>
                          <a:tailEnd type="none" w="med" len="med"/>
                        </a:ln>
                      </wps:spPr>
                      <wps:bodyPr upright="0"/>
                    </wps:wsp>
                  </a:graphicData>
                </a:graphic>
              </wp:anchor>
            </w:drawing>
          </mc:Choice>
          <mc:Fallback>
            <w:pict>
              <v:line id="Line 7" o:spid="_x0000_s1026" o:spt="20" style="position:absolute;left:0pt;flip:y;margin-left:-8.8pt;margin-top:0.5pt;height:0.7pt;width:473.4pt;z-index:251661312;mso-width-relative:page;mso-height-relative:page;" filled="f" stroked="t" coordsize="21600,21600" o:gfxdata="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N7ed1QAAAAcBAAAPAAAAAAAAAAEAIAAAACIAAABkcnMvZG93bnJldi54bWxQSwECFAAUAAAA&#10;CACHTuJAdefMSfEBAAAIBAAADgAAAAAAAAABACAAAAAkAQAAZHJzL2Uyb0RvYy54bWxQSwUGAAAA&#10;AAYABgBZAQAAhw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0"/>
          <w:kern w:val="0"/>
          <w:sz w:val="32"/>
          <w:szCs w:val="32"/>
        </w:rPr>
        <w:t xml:space="preserve">广东省制造业协会                    </w:t>
      </w:r>
      <w:r>
        <w:rPr>
          <w:rFonts w:hint="eastAsia" w:ascii="仿宋_GB2312" w:hAnsi="仿宋_GB2312" w:eastAsia="仿宋_GB2312" w:cs="仿宋_GB2312"/>
          <w:spacing w:val="0"/>
          <w:kern w:val="0"/>
          <w:sz w:val="32"/>
          <w:szCs w:val="32"/>
          <w:lang w:val="en-US" w:eastAsia="zh-CN"/>
        </w:rPr>
        <w:t xml:space="preserve">  </w:t>
      </w:r>
      <w:r>
        <w:rPr>
          <w:rFonts w:hint="eastAsia" w:ascii="仿宋_GB2312" w:hAnsi="仿宋_GB2312" w:eastAsia="仿宋_GB2312" w:cs="仿宋_GB2312"/>
          <w:spacing w:val="0"/>
          <w:kern w:val="0"/>
          <w:sz w:val="32"/>
          <w:szCs w:val="32"/>
        </w:rPr>
        <w:t>202</w:t>
      </w:r>
      <w:r>
        <w:rPr>
          <w:rFonts w:hint="eastAsia" w:ascii="仿宋_GB2312" w:hAnsi="仿宋_GB2312" w:eastAsia="仿宋_GB2312" w:cs="仿宋_GB2312"/>
          <w:spacing w:val="0"/>
          <w:kern w:val="0"/>
          <w:sz w:val="32"/>
          <w:szCs w:val="32"/>
          <w:lang w:val="en-US" w:eastAsia="zh-CN"/>
        </w:rPr>
        <w:t>3</w:t>
      </w:r>
      <w:r>
        <w:rPr>
          <w:rFonts w:hint="eastAsia" w:ascii="仿宋_GB2312" w:hAnsi="仿宋_GB2312" w:eastAsia="仿宋_GB2312" w:cs="仿宋_GB2312"/>
          <w:spacing w:val="0"/>
          <w:kern w:val="0"/>
          <w:sz w:val="32"/>
          <w:szCs w:val="32"/>
        </w:rPr>
        <w:t>年</w:t>
      </w:r>
      <w:r>
        <w:rPr>
          <w:rFonts w:hint="eastAsia" w:ascii="仿宋_GB2312" w:hAnsi="仿宋_GB2312" w:eastAsia="仿宋_GB2312" w:cs="仿宋_GB2312"/>
          <w:spacing w:val="0"/>
          <w:kern w:val="0"/>
          <w:sz w:val="32"/>
          <w:szCs w:val="32"/>
          <w:lang w:val="en-US" w:eastAsia="zh-CN"/>
        </w:rPr>
        <w:t>3</w:t>
      </w:r>
      <w:r>
        <w:rPr>
          <w:rFonts w:hint="eastAsia" w:ascii="仿宋_GB2312" w:hAnsi="仿宋_GB2312" w:eastAsia="仿宋_GB2312" w:cs="仿宋_GB2312"/>
          <w:spacing w:val="0"/>
          <w:kern w:val="0"/>
          <w:sz w:val="32"/>
          <w:szCs w:val="32"/>
        </w:rPr>
        <w:t>月</w:t>
      </w:r>
      <w:r>
        <w:rPr>
          <w:rFonts w:hint="eastAsia" w:ascii="仿宋_GB2312" w:hAnsi="仿宋_GB2312" w:eastAsia="仿宋_GB2312" w:cs="仿宋_GB2312"/>
          <w:spacing w:val="0"/>
          <w:kern w:val="0"/>
          <w:sz w:val="32"/>
          <w:szCs w:val="32"/>
          <w:lang w:val="en-US" w:eastAsia="zh-CN"/>
        </w:rPr>
        <w:t>28</w:t>
      </w:r>
      <w:r>
        <w:rPr>
          <w:rFonts w:hint="eastAsia" w:ascii="仿宋_GB2312" w:hAnsi="仿宋_GB2312" w:eastAsia="仿宋_GB2312" w:cs="仿宋_GB2312"/>
          <w:spacing w:val="0"/>
          <w:kern w:val="0"/>
          <w:sz w:val="32"/>
          <w:szCs w:val="32"/>
        </w:rPr>
        <w:t xml:space="preserve">日印发 </w:t>
      </w:r>
    </w:p>
    <w:p>
      <w:pPr>
        <w:widowControl/>
        <w:spacing w:line="560" w:lineRule="exact"/>
        <w:rPr>
          <w:rFonts w:ascii="仿宋" w:hAnsi="仿宋" w:eastAsia="仿宋" w:cs="仿宋"/>
          <w:b/>
          <w:bCs/>
          <w:sz w:val="32"/>
          <w:szCs w:val="32"/>
        </w:rPr>
      </w:pPr>
      <w:bookmarkStart w:id="0" w:name="_GoBack"/>
      <w:bookmarkEnd w:id="0"/>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b/>
          <w:bCs/>
          <w:sz w:val="32"/>
          <w:szCs w:val="32"/>
        </w:rPr>
        <w:t xml:space="preserve"> </w:t>
      </w:r>
    </w:p>
    <w:p>
      <w:pP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202</w:t>
      </w:r>
      <w:r>
        <w:rPr>
          <w:rFonts w:hint="eastAsia" w:ascii="方正小标宋简体" w:hAnsi="方正小标宋简体" w:eastAsia="方正小标宋简体" w:cs="方正小标宋简体"/>
          <w:spacing w:val="-11"/>
          <w:sz w:val="44"/>
          <w:szCs w:val="44"/>
          <w:lang w:val="en-US" w:eastAsia="zh-CN"/>
        </w:rPr>
        <w:t>3</w:t>
      </w:r>
      <w:r>
        <w:rPr>
          <w:rFonts w:hint="eastAsia" w:ascii="方正小标宋简体" w:hAnsi="方正小标宋简体" w:eastAsia="方正小标宋简体" w:cs="方正小标宋简体"/>
          <w:spacing w:val="-11"/>
          <w:sz w:val="44"/>
          <w:szCs w:val="44"/>
        </w:rPr>
        <w:t>年“广东省制造业500强”企业排序申报表</w:t>
      </w:r>
    </w:p>
    <w:tbl>
      <w:tblPr>
        <w:tblStyle w:val="5"/>
        <w:tblpPr w:leftFromText="180" w:rightFromText="180" w:vertAnchor="text" w:horzAnchor="page" w:tblpXSpec="center" w:tblpY="296"/>
        <w:tblOverlap w:val="never"/>
        <w:tblW w:w="10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85"/>
        <w:gridCol w:w="540"/>
        <w:gridCol w:w="798"/>
        <w:gridCol w:w="1288"/>
        <w:gridCol w:w="270"/>
        <w:gridCol w:w="33"/>
        <w:gridCol w:w="839"/>
        <w:gridCol w:w="107"/>
        <w:gridCol w:w="46"/>
        <w:gridCol w:w="1240"/>
        <w:gridCol w:w="598"/>
        <w:gridCol w:w="799"/>
        <w:gridCol w:w="556"/>
        <w:gridCol w:w="360"/>
        <w:gridCol w:w="434"/>
        <w:gridCol w:w="1179"/>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1574"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企 业 名 称</w:t>
            </w:r>
          </w:p>
        </w:tc>
        <w:tc>
          <w:tcPr>
            <w:tcW w:w="2929" w:type="dxa"/>
            <w:gridSpan w:val="5"/>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992"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所在地级市</w:t>
            </w:r>
          </w:p>
        </w:tc>
        <w:tc>
          <w:tcPr>
            <w:tcW w:w="1838"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55"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企业性质</w:t>
            </w:r>
          </w:p>
        </w:tc>
        <w:tc>
          <w:tcPr>
            <w:tcW w:w="1979"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 xml:space="preserve"> 国有（     ）</w:t>
            </w:r>
          </w:p>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 xml:space="preserve"> 民营（     ）</w:t>
            </w:r>
          </w:p>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 xml:space="preserve"> 外资（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74"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通 讯 地 址</w:t>
            </w:r>
          </w:p>
        </w:tc>
        <w:tc>
          <w:tcPr>
            <w:tcW w:w="5759" w:type="dxa"/>
            <w:gridSpan w:val="1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55"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邮政编码</w:t>
            </w:r>
          </w:p>
        </w:tc>
        <w:tc>
          <w:tcPr>
            <w:tcW w:w="1979"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74"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企 业 网 址</w:t>
            </w:r>
          </w:p>
        </w:tc>
        <w:tc>
          <w:tcPr>
            <w:tcW w:w="2896"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979"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传  真</w:t>
            </w:r>
          </w:p>
        </w:tc>
        <w:tc>
          <w:tcPr>
            <w:tcW w:w="1884"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55"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pacing w:val="-17"/>
                <w:sz w:val="24"/>
                <w:szCs w:val="24"/>
              </w:rPr>
              <w:t>联系人邮箱</w:t>
            </w:r>
          </w:p>
        </w:tc>
        <w:tc>
          <w:tcPr>
            <w:tcW w:w="1979"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14"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2356" w:type="dxa"/>
            <w:gridSpan w:val="3"/>
            <w:vAlign w:val="center"/>
          </w:tcPr>
          <w:p>
            <w:pPr>
              <w:keepNext w:val="0"/>
              <w:keepLines w:val="0"/>
              <w:pageBreakBefore w:val="0"/>
              <w:kinsoku/>
              <w:wordWrap/>
              <w:overflowPunct/>
              <w:topLinePunct w:val="0"/>
              <w:autoSpaceDE/>
              <w:autoSpaceDN/>
              <w:bidi w:val="0"/>
              <w:adjustRightInd/>
              <w:snapToGrid/>
              <w:spacing w:line="380" w:lineRule="exact"/>
              <w:ind w:firstLine="360" w:firstLineChars="150"/>
              <w:textAlignment w:val="auto"/>
              <w:rPr>
                <w:rFonts w:ascii="宋体" w:hAnsi="宋体" w:cs="宋体"/>
                <w:sz w:val="24"/>
                <w:szCs w:val="24"/>
              </w:rPr>
            </w:pPr>
            <w:r>
              <w:rPr>
                <w:rFonts w:hint="eastAsia" w:ascii="宋体" w:hAnsi="宋体" w:cs="宋体"/>
                <w:sz w:val="24"/>
                <w:szCs w:val="24"/>
              </w:rPr>
              <w:t>姓     名</w:t>
            </w:r>
          </w:p>
        </w:tc>
        <w:tc>
          <w:tcPr>
            <w:tcW w:w="2863" w:type="dxa"/>
            <w:gridSpan w:val="6"/>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职务（部门）</w:t>
            </w:r>
          </w:p>
        </w:tc>
        <w:tc>
          <w:tcPr>
            <w:tcW w:w="1715" w:type="dxa"/>
            <w:gridSpan w:val="3"/>
            <w:vAlign w:val="center"/>
          </w:tcPr>
          <w:p>
            <w:pPr>
              <w:keepNext w:val="0"/>
              <w:keepLines w:val="0"/>
              <w:pageBreakBefore w:val="0"/>
              <w:kinsoku/>
              <w:wordWrap/>
              <w:overflowPunct/>
              <w:topLinePunct w:val="0"/>
              <w:autoSpaceDE/>
              <w:autoSpaceDN/>
              <w:bidi w:val="0"/>
              <w:adjustRightInd/>
              <w:snapToGrid/>
              <w:spacing w:line="380" w:lineRule="exact"/>
              <w:ind w:left="-210" w:leftChars="-100" w:right="-210" w:rightChars="-100" w:firstLine="240" w:firstLineChars="100"/>
              <w:textAlignment w:val="auto"/>
              <w:rPr>
                <w:rFonts w:ascii="宋体" w:hAnsi="宋体" w:cs="宋体"/>
                <w:sz w:val="24"/>
                <w:szCs w:val="24"/>
              </w:rPr>
            </w:pPr>
            <w:r>
              <w:rPr>
                <w:rFonts w:hint="eastAsia" w:ascii="宋体" w:hAnsi="宋体" w:cs="宋体"/>
                <w:sz w:val="24"/>
                <w:szCs w:val="24"/>
              </w:rPr>
              <w:t>电话(加区号)</w:t>
            </w:r>
          </w:p>
        </w:tc>
        <w:tc>
          <w:tcPr>
            <w:tcW w:w="1619"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14"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法  人  代  表</w:t>
            </w:r>
          </w:p>
        </w:tc>
        <w:tc>
          <w:tcPr>
            <w:tcW w:w="2356"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2863" w:type="dxa"/>
            <w:gridSpan w:val="6"/>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715"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619"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114"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主 要 负 责 人</w:t>
            </w:r>
          </w:p>
        </w:tc>
        <w:tc>
          <w:tcPr>
            <w:tcW w:w="2356"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2863" w:type="dxa"/>
            <w:gridSpan w:val="6"/>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715"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619"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114" w:type="dxa"/>
            <w:gridSpan w:val="3"/>
            <w:vAlign w:val="center"/>
          </w:tcPr>
          <w:p>
            <w:pPr>
              <w:keepNext w:val="0"/>
              <w:keepLines w:val="0"/>
              <w:pageBreakBefore w:val="0"/>
              <w:kinsoku/>
              <w:wordWrap/>
              <w:overflowPunct/>
              <w:topLinePunct w:val="0"/>
              <w:autoSpaceDE/>
              <w:autoSpaceDN/>
              <w:bidi w:val="0"/>
              <w:adjustRightInd/>
              <w:snapToGrid/>
              <w:spacing w:line="380" w:lineRule="exact"/>
              <w:jc w:val="both"/>
              <w:textAlignment w:val="auto"/>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活</w:t>
            </w:r>
            <w:r>
              <w:rPr>
                <w:rFonts w:hint="eastAsia" w:ascii="宋体" w:hAnsi="宋体" w:cs="宋体"/>
                <w:sz w:val="24"/>
                <w:szCs w:val="24"/>
                <w:lang w:val="en-US" w:eastAsia="zh-CN"/>
              </w:rPr>
              <w:t xml:space="preserve"> </w:t>
            </w:r>
            <w:r>
              <w:rPr>
                <w:rFonts w:hint="eastAsia" w:ascii="宋体" w:hAnsi="宋体" w:cs="宋体"/>
                <w:sz w:val="24"/>
                <w:szCs w:val="24"/>
              </w:rPr>
              <w:t>动</w:t>
            </w:r>
            <w:r>
              <w:rPr>
                <w:rFonts w:hint="eastAsia" w:ascii="宋体" w:hAnsi="宋体" w:cs="宋体"/>
                <w:sz w:val="24"/>
                <w:szCs w:val="24"/>
                <w:lang w:val="en-US" w:eastAsia="zh-CN"/>
              </w:rPr>
              <w:t xml:space="preserve"> </w:t>
            </w:r>
            <w:r>
              <w:rPr>
                <w:rFonts w:hint="eastAsia" w:ascii="宋体" w:hAnsi="宋体" w:cs="宋体"/>
                <w:sz w:val="24"/>
                <w:szCs w:val="24"/>
              </w:rPr>
              <w:t>联</w:t>
            </w:r>
            <w:r>
              <w:rPr>
                <w:rFonts w:hint="eastAsia" w:ascii="宋体" w:hAnsi="宋体" w:cs="宋体"/>
                <w:sz w:val="24"/>
                <w:szCs w:val="24"/>
                <w:lang w:val="en-US" w:eastAsia="zh-CN"/>
              </w:rPr>
              <w:t xml:space="preserve"> </w:t>
            </w:r>
            <w:r>
              <w:rPr>
                <w:rFonts w:hint="eastAsia" w:ascii="宋体" w:hAnsi="宋体" w:cs="宋体"/>
                <w:sz w:val="24"/>
                <w:szCs w:val="24"/>
              </w:rPr>
              <w:t>系</w:t>
            </w:r>
            <w:r>
              <w:rPr>
                <w:rFonts w:hint="eastAsia" w:ascii="宋体" w:hAnsi="宋体" w:cs="宋体"/>
                <w:sz w:val="24"/>
                <w:szCs w:val="24"/>
                <w:lang w:val="en-US" w:eastAsia="zh-CN"/>
              </w:rPr>
              <w:t xml:space="preserve"> </w:t>
            </w:r>
            <w:r>
              <w:rPr>
                <w:rFonts w:hint="eastAsia" w:ascii="宋体" w:hAnsi="宋体" w:cs="宋体"/>
                <w:sz w:val="24"/>
                <w:szCs w:val="24"/>
              </w:rPr>
              <w:t>人</w:t>
            </w:r>
          </w:p>
        </w:tc>
        <w:tc>
          <w:tcPr>
            <w:tcW w:w="2356"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2863" w:type="dxa"/>
            <w:gridSpan w:val="6"/>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715"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619"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14"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数据填报联系人</w:t>
            </w:r>
          </w:p>
        </w:tc>
        <w:tc>
          <w:tcPr>
            <w:tcW w:w="2356"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2863" w:type="dxa"/>
            <w:gridSpan w:val="6"/>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715"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619"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912"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生产的产品或提供的服务</w:t>
            </w:r>
          </w:p>
        </w:tc>
        <w:tc>
          <w:tcPr>
            <w:tcW w:w="7755" w:type="dxa"/>
            <w:gridSpan w:val="1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（1）               ；（2）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55" w:hRule="atLeast"/>
          <w:jc w:val="center"/>
        </w:trPr>
        <w:tc>
          <w:tcPr>
            <w:tcW w:w="1489" w:type="dxa"/>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指标（万元）</w:t>
            </w:r>
          </w:p>
        </w:tc>
        <w:tc>
          <w:tcPr>
            <w:tcW w:w="1423"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营业总收入</w:t>
            </w:r>
          </w:p>
        </w:tc>
        <w:tc>
          <w:tcPr>
            <w:tcW w:w="1288"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 xml:space="preserve">出口国外营业收入 </w:t>
            </w:r>
          </w:p>
        </w:tc>
        <w:tc>
          <w:tcPr>
            <w:tcW w:w="1249" w:type="dxa"/>
            <w:gridSpan w:val="4"/>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资产总额</w:t>
            </w:r>
          </w:p>
        </w:tc>
        <w:tc>
          <w:tcPr>
            <w:tcW w:w="1286" w:type="dxa"/>
            <w:gridSpan w:val="2"/>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pacing w:val="-20"/>
                <w:sz w:val="24"/>
                <w:szCs w:val="24"/>
              </w:rPr>
            </w:pPr>
            <w:r>
              <w:rPr>
                <w:rFonts w:hint="eastAsia" w:ascii="宋体" w:hAnsi="宋体" w:cs="宋体"/>
                <w:sz w:val="24"/>
                <w:szCs w:val="24"/>
              </w:rPr>
              <w:t xml:space="preserve">净利润 </w:t>
            </w:r>
          </w:p>
        </w:tc>
        <w:tc>
          <w:tcPr>
            <w:tcW w:w="1397" w:type="dxa"/>
            <w:gridSpan w:val="2"/>
            <w:tcBorders>
              <w:right w:val="nil"/>
            </w:tcBorders>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研发费用</w:t>
            </w:r>
          </w:p>
        </w:tc>
        <w:tc>
          <w:tcPr>
            <w:tcW w:w="1350" w:type="dxa"/>
            <w:gridSpan w:val="3"/>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员工总数</w:t>
            </w:r>
          </w:p>
        </w:tc>
        <w:tc>
          <w:tcPr>
            <w:tcW w:w="1179"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kern w:val="0"/>
                <w:sz w:val="24"/>
                <w:szCs w:val="24"/>
              </w:rPr>
              <w:t>科技人员比率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20</w:t>
            </w:r>
            <w:r>
              <w:rPr>
                <w:rFonts w:hint="eastAsia" w:ascii="宋体" w:hAnsi="宋体" w:cs="宋体"/>
                <w:sz w:val="24"/>
                <w:szCs w:val="24"/>
                <w:lang w:val="en-US" w:eastAsia="zh-CN"/>
              </w:rPr>
              <w:t>21</w:t>
            </w:r>
            <w:r>
              <w:rPr>
                <w:rFonts w:hint="eastAsia" w:ascii="宋体" w:hAnsi="宋体" w:cs="宋体"/>
                <w:sz w:val="24"/>
                <w:szCs w:val="24"/>
              </w:rPr>
              <w:t>年</w:t>
            </w:r>
          </w:p>
        </w:tc>
        <w:tc>
          <w:tcPr>
            <w:tcW w:w="1423"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88" w:type="dxa"/>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49"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86"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97"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50"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185"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89"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202</w:t>
            </w:r>
            <w:r>
              <w:rPr>
                <w:rFonts w:hint="eastAsia" w:ascii="宋体" w:hAnsi="宋体" w:cs="宋体"/>
                <w:sz w:val="24"/>
                <w:szCs w:val="24"/>
                <w:lang w:val="en-US" w:eastAsia="zh-CN"/>
              </w:rPr>
              <w:t>2</w:t>
            </w:r>
            <w:r>
              <w:rPr>
                <w:rFonts w:hint="eastAsia" w:ascii="宋体" w:hAnsi="宋体" w:cs="宋体"/>
                <w:sz w:val="24"/>
                <w:szCs w:val="24"/>
              </w:rPr>
              <w:t>年</w:t>
            </w:r>
          </w:p>
        </w:tc>
        <w:tc>
          <w:tcPr>
            <w:tcW w:w="1423"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88" w:type="dxa"/>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49" w:type="dxa"/>
            <w:gridSpan w:val="4"/>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286"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97"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350" w:type="dxa"/>
            <w:gridSpan w:val="3"/>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c>
          <w:tcPr>
            <w:tcW w:w="1185" w:type="dxa"/>
            <w:gridSpan w:val="2"/>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1489"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sz w:val="24"/>
                <w:szCs w:val="24"/>
              </w:rPr>
            </w:pPr>
            <w:r>
              <w:rPr>
                <w:rFonts w:hint="eastAsia" w:ascii="宋体" w:hAnsi="宋体" w:cs="宋体"/>
                <w:sz w:val="24"/>
                <w:szCs w:val="24"/>
              </w:rPr>
              <w:t>企业信息</w:t>
            </w:r>
          </w:p>
        </w:tc>
        <w:tc>
          <w:tcPr>
            <w:tcW w:w="9178" w:type="dxa"/>
            <w:gridSpan w:val="17"/>
            <w:vAlign w:val="center"/>
          </w:tcPr>
          <w:p>
            <w:pPr>
              <w:keepNext w:val="0"/>
              <w:keepLines w:val="0"/>
              <w:pageBreakBefore w:val="0"/>
              <w:kinsoku/>
              <w:wordWrap/>
              <w:overflowPunct/>
              <w:topLinePunct w:val="0"/>
              <w:autoSpaceDE/>
              <w:autoSpaceDN/>
              <w:bidi w:val="0"/>
              <w:adjustRightInd/>
              <w:snapToGrid/>
              <w:spacing w:line="380" w:lineRule="exact"/>
              <w:ind w:left="-21" w:leftChars="-10" w:firstLine="21" w:firstLineChars="9"/>
              <w:textAlignment w:val="auto"/>
              <w:rPr>
                <w:rFonts w:ascii="宋体" w:hAnsi="宋体" w:cs="宋体"/>
                <w:sz w:val="24"/>
                <w:szCs w:val="24"/>
              </w:rPr>
            </w:pPr>
            <w:r>
              <w:rPr>
                <w:rFonts w:hint="eastAsia" w:ascii="宋体" w:hAnsi="宋体" w:cs="宋体"/>
                <w:sz w:val="24"/>
                <w:szCs w:val="24"/>
              </w:rPr>
              <w:t>①依据第一主营业务，本企业属于（       【填写</w:t>
            </w:r>
            <w:r>
              <w:rPr>
                <w:rFonts w:hint="eastAsia" w:ascii="宋体" w:hAnsi="宋体" w:cs="宋体"/>
                <w:sz w:val="24"/>
                <w:szCs w:val="24"/>
                <w:lang w:eastAsia="zh-CN"/>
              </w:rPr>
              <w:t>序号</w:t>
            </w:r>
            <w:r>
              <w:rPr>
                <w:rFonts w:hint="eastAsia" w:ascii="宋体" w:hAnsi="宋体" w:cs="宋体"/>
                <w:sz w:val="24"/>
                <w:szCs w:val="24"/>
              </w:rPr>
              <w:t>】）类制造企业</w:t>
            </w:r>
            <w:r>
              <w:rPr>
                <w:rFonts w:hint="eastAsia" w:ascii="宋体" w:hAnsi="宋体" w:cs="宋体"/>
                <w:sz w:val="24"/>
                <w:szCs w:val="24"/>
                <w:lang w:eastAsia="zh-CN"/>
              </w:rPr>
              <w:t>（</w:t>
            </w:r>
            <w:r>
              <w:rPr>
                <w:rFonts w:hint="eastAsia" w:ascii="宋体" w:hAnsi="宋体" w:cs="宋体"/>
                <w:sz w:val="24"/>
                <w:szCs w:val="24"/>
              </w:rPr>
              <w:t>请参照附件二行业分类选择</w:t>
            </w:r>
            <w:r>
              <w:rPr>
                <w:rFonts w:hint="eastAsia" w:ascii="宋体" w:hAnsi="宋体" w:cs="宋体"/>
                <w:sz w:val="24"/>
                <w:szCs w:val="24"/>
                <w:lang w:eastAsia="zh-CN"/>
              </w:rPr>
              <w:t>）</w:t>
            </w:r>
            <w:r>
              <w:rPr>
                <w:rFonts w:hint="eastAsia" w:ascii="宋体" w:hAnsi="宋体" w:cs="宋体"/>
                <w:sz w:val="24"/>
                <w:szCs w:val="24"/>
              </w:rPr>
              <w:t>。②在202</w:t>
            </w:r>
            <w:r>
              <w:rPr>
                <w:rFonts w:hint="eastAsia" w:ascii="宋体" w:hAnsi="宋体" w:cs="宋体"/>
                <w:sz w:val="24"/>
                <w:szCs w:val="24"/>
                <w:lang w:val="en-US" w:eastAsia="zh-CN"/>
              </w:rPr>
              <w:t>2</w:t>
            </w:r>
            <w:r>
              <w:rPr>
                <w:rFonts w:hint="eastAsia" w:ascii="宋体" w:hAnsi="宋体" w:cs="宋体"/>
                <w:sz w:val="24"/>
                <w:szCs w:val="24"/>
              </w:rPr>
              <w:t>年是否并购或重组了其他企业？如果是，共（      ）家。③本企业截至202</w:t>
            </w:r>
            <w:r>
              <w:rPr>
                <w:rFonts w:hint="eastAsia" w:ascii="宋体" w:hAnsi="宋体" w:cs="宋体"/>
                <w:sz w:val="24"/>
                <w:szCs w:val="24"/>
                <w:lang w:val="en-US" w:eastAsia="zh-CN"/>
              </w:rPr>
              <w:t>2</w:t>
            </w:r>
            <w:r>
              <w:rPr>
                <w:rFonts w:hint="eastAsia" w:ascii="宋体" w:hAnsi="宋体" w:cs="宋体"/>
                <w:sz w:val="24"/>
                <w:szCs w:val="24"/>
              </w:rPr>
              <w:t>年底</w:t>
            </w:r>
            <w:r>
              <w:rPr>
                <w:rFonts w:hint="eastAsia" w:ascii="宋体" w:hAnsi="宋体" w:cs="宋体"/>
                <w:sz w:val="24"/>
                <w:szCs w:val="24"/>
                <w:lang w:eastAsia="zh-CN"/>
              </w:rPr>
              <w:t>，</w:t>
            </w:r>
            <w:r>
              <w:rPr>
                <w:rFonts w:hint="eastAsia" w:ascii="宋体" w:hAnsi="宋体" w:cs="宋体"/>
                <w:sz w:val="24"/>
                <w:szCs w:val="24"/>
              </w:rPr>
              <w:t>拥有全资和控股子公司（      ）家，参股公司（      ）家，分公司（     ）家。④截至202</w:t>
            </w:r>
            <w:r>
              <w:rPr>
                <w:rFonts w:hint="eastAsia" w:ascii="宋体" w:hAnsi="宋体" w:cs="宋体"/>
                <w:sz w:val="24"/>
                <w:szCs w:val="24"/>
                <w:lang w:val="en-US" w:eastAsia="zh-CN"/>
              </w:rPr>
              <w:t>2</w:t>
            </w:r>
            <w:r>
              <w:rPr>
                <w:rFonts w:hint="eastAsia" w:ascii="宋体" w:hAnsi="宋体" w:cs="宋体"/>
                <w:sz w:val="24"/>
                <w:szCs w:val="24"/>
                <w:lang w:eastAsia="zh-CN"/>
              </w:rPr>
              <w:t>年末</w:t>
            </w:r>
            <w:r>
              <w:rPr>
                <w:rFonts w:hint="eastAsia" w:ascii="宋体" w:hAnsi="宋体" w:cs="宋体"/>
                <w:sz w:val="24"/>
                <w:szCs w:val="24"/>
              </w:rPr>
              <w:t>，本企业拥有专利（      ）项，其中发明专利（      ）项。⑤本企业20</w:t>
            </w:r>
            <w:r>
              <w:rPr>
                <w:rFonts w:hint="eastAsia" w:ascii="宋体" w:hAnsi="宋体" w:cs="宋体"/>
                <w:sz w:val="24"/>
                <w:szCs w:val="24"/>
                <w:lang w:val="en-US" w:eastAsia="zh-CN"/>
              </w:rPr>
              <w:t>22</w:t>
            </w:r>
            <w:r>
              <w:rPr>
                <w:rFonts w:hint="eastAsia" w:ascii="宋体" w:hAnsi="宋体" w:cs="宋体"/>
                <w:sz w:val="24"/>
                <w:szCs w:val="24"/>
              </w:rPr>
              <w:t>年研究开发人员数（    ）人、新产品销售收入（      ）万元。⑥本企业参与形成的国际、国家或行业标准数（    ）项，其中国家或行业标准（      ）项、国际标准（      ）项。⑦是否入选工信部绿色制造名单？如果是，（   </w:t>
            </w:r>
            <w:r>
              <w:rPr>
                <w:rFonts w:ascii="宋体" w:hAnsi="宋体" w:cs="宋体"/>
                <w:sz w:val="24"/>
                <w:szCs w:val="24"/>
              </w:rPr>
              <w:t xml:space="preserve"> </w:t>
            </w:r>
            <w:r>
              <w:rPr>
                <w:rFonts w:hint="eastAsia" w:ascii="宋体" w:hAnsi="宋体" w:cs="宋体"/>
                <w:sz w:val="24"/>
                <w:szCs w:val="24"/>
              </w:rPr>
              <w:t>）年入选，其中共计（   ）种绿色设计产品入选名单。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2" w:type="dxa"/>
            <w:gridSpan w:val="8"/>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申报企业（盖章）：</w:t>
            </w:r>
          </w:p>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p>
          <w:p>
            <w:pPr>
              <w:keepNext w:val="0"/>
              <w:keepLines w:val="0"/>
              <w:pageBreakBefore w:val="0"/>
              <w:kinsoku/>
              <w:wordWrap/>
              <w:overflowPunct/>
              <w:topLinePunct w:val="0"/>
              <w:autoSpaceDE/>
              <w:autoSpaceDN/>
              <w:bidi w:val="0"/>
              <w:adjustRightInd/>
              <w:snapToGrid/>
              <w:spacing w:line="380" w:lineRule="exact"/>
              <w:ind w:left="220" w:leftChars="105" w:firstLine="840" w:firstLineChars="350"/>
              <w:textAlignment w:val="auto"/>
              <w:rPr>
                <w:rFonts w:ascii="宋体" w:hAnsi="宋体" w:cs="宋体"/>
                <w:sz w:val="24"/>
                <w:szCs w:val="24"/>
              </w:rPr>
            </w:pPr>
            <w:r>
              <w:rPr>
                <w:rFonts w:hint="eastAsia" w:ascii="宋体" w:hAnsi="宋体" w:cs="宋体"/>
                <w:sz w:val="24"/>
                <w:szCs w:val="24"/>
              </w:rPr>
              <w:t xml:space="preserve">            202</w:t>
            </w:r>
            <w:r>
              <w:rPr>
                <w:rFonts w:hint="eastAsia" w:ascii="宋体" w:hAnsi="宋体" w:cs="宋体"/>
                <w:sz w:val="24"/>
                <w:szCs w:val="24"/>
                <w:lang w:val="en-US" w:eastAsia="zh-CN"/>
              </w:rPr>
              <w:t>3</w:t>
            </w:r>
            <w:r>
              <w:rPr>
                <w:rFonts w:hint="eastAsia" w:ascii="宋体" w:hAnsi="宋体" w:cs="宋体"/>
                <w:sz w:val="24"/>
                <w:szCs w:val="24"/>
              </w:rPr>
              <w:t>年   月   日</w:t>
            </w:r>
          </w:p>
        </w:tc>
        <w:tc>
          <w:tcPr>
            <w:tcW w:w="5325" w:type="dxa"/>
            <w:gridSpan w:val="10"/>
            <w:vAlign w:val="center"/>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sz w:val="24"/>
                <w:szCs w:val="24"/>
              </w:rPr>
            </w:pPr>
            <w:r>
              <w:rPr>
                <w:rFonts w:hint="eastAsia" w:ascii="宋体" w:hAnsi="宋体" w:cs="宋体"/>
                <w:sz w:val="24"/>
                <w:szCs w:val="24"/>
              </w:rPr>
              <w:t>申报指标数据属实。</w:t>
            </w:r>
          </w:p>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sz w:val="24"/>
                <w:szCs w:val="24"/>
              </w:rPr>
            </w:pPr>
            <w:r>
              <w:rPr>
                <w:rFonts w:hint="eastAsia" w:ascii="宋体" w:hAnsi="宋体" w:cs="宋体"/>
                <w:sz w:val="24"/>
                <w:szCs w:val="24"/>
              </w:rPr>
              <w:t>主管财务负责人（签字）：</w:t>
            </w:r>
          </w:p>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sz w:val="24"/>
                <w:szCs w:val="24"/>
              </w:rPr>
            </w:pPr>
          </w:p>
          <w:p>
            <w:pPr>
              <w:keepNext w:val="0"/>
              <w:keepLines w:val="0"/>
              <w:pageBreakBefore w:val="0"/>
              <w:kinsoku/>
              <w:wordWrap/>
              <w:overflowPunct/>
              <w:topLinePunct w:val="0"/>
              <w:autoSpaceDE/>
              <w:autoSpaceDN/>
              <w:bidi w:val="0"/>
              <w:adjustRightInd/>
              <w:snapToGrid/>
              <w:spacing w:line="380" w:lineRule="exact"/>
              <w:ind w:firstLine="1200" w:firstLineChars="500"/>
              <w:textAlignment w:val="auto"/>
              <w:rPr>
                <w:rFonts w:ascii="宋体" w:hAnsi="宋体" w:cs="宋体"/>
                <w:sz w:val="24"/>
                <w:szCs w:val="24"/>
              </w:rPr>
            </w:pPr>
            <w:r>
              <w:rPr>
                <w:rFonts w:hint="eastAsia" w:ascii="宋体" w:hAnsi="宋体" w:cs="宋体"/>
                <w:sz w:val="24"/>
                <w:szCs w:val="24"/>
              </w:rPr>
              <w:t xml:space="preserve">          202</w:t>
            </w:r>
            <w:r>
              <w:rPr>
                <w:rFonts w:hint="eastAsia" w:ascii="宋体" w:hAnsi="宋体" w:cs="宋体"/>
                <w:sz w:val="24"/>
                <w:szCs w:val="24"/>
                <w:lang w:val="en-US" w:eastAsia="zh-CN"/>
              </w:rPr>
              <w:t>3</w:t>
            </w:r>
            <w:r>
              <w:rPr>
                <w:rFonts w:hint="eastAsia" w:ascii="宋体" w:hAnsi="宋体" w:cs="宋体"/>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667" w:type="dxa"/>
            <w:gridSpan w:val="18"/>
            <w:vAlign w:val="center"/>
          </w:tcPr>
          <w:p>
            <w:pPr>
              <w:pStyle w:val="7"/>
              <w:keepNext w:val="0"/>
              <w:keepLines w:val="0"/>
              <w:pageBreakBefore w:val="0"/>
              <w:kinsoku/>
              <w:wordWrap/>
              <w:overflowPunct/>
              <w:topLinePunct w:val="0"/>
              <w:autoSpaceDE/>
              <w:autoSpaceDN/>
              <w:bidi w:val="0"/>
              <w:adjustRightInd/>
              <w:snapToGrid/>
              <w:spacing w:before="0" w:beforeAutospacing="0" w:after="0" w:afterAutospacing="0" w:line="380" w:lineRule="exact"/>
              <w:jc w:val="both"/>
              <w:textAlignment w:val="auto"/>
              <w:rPr>
                <w:sz w:val="24"/>
                <w:szCs w:val="24"/>
              </w:rPr>
            </w:pPr>
            <w:r>
              <w:rPr>
                <w:rFonts w:hint="eastAsia"/>
                <w:sz w:val="24"/>
                <w:szCs w:val="24"/>
              </w:rPr>
              <w:t xml:space="preserve"> 注：请认真参照附件</w:t>
            </w:r>
            <w:r>
              <w:rPr>
                <w:rFonts w:hint="eastAsia"/>
                <w:sz w:val="24"/>
                <w:szCs w:val="24"/>
                <w:lang w:val="en-US" w:eastAsia="zh-CN"/>
              </w:rPr>
              <w:t>2</w:t>
            </w:r>
            <w:r>
              <w:rPr>
                <w:rFonts w:hint="eastAsia"/>
                <w:sz w:val="24"/>
                <w:szCs w:val="24"/>
              </w:rPr>
              <w:t>要求填写此表并加盖公章后扫描发送至邮箱chngma@163.com。</w:t>
            </w:r>
          </w:p>
        </w:tc>
      </w:tr>
    </w:tbl>
    <w:p>
      <w:pPr>
        <w:rPr>
          <w:rFonts w:hint="eastAsia" w:ascii="方正小标宋简体" w:hAnsi="方正小标宋简体" w:eastAsia="方正小标宋简体" w:cs="方正小标宋简体"/>
          <w:spacing w:val="-11"/>
          <w:sz w:val="44"/>
          <w:szCs w:val="44"/>
        </w:rPr>
        <w:sectPr>
          <w:pgSz w:w="11906" w:h="16838"/>
          <w:pgMar w:top="1587" w:right="1417" w:bottom="1134" w:left="1417" w:header="851" w:footer="992" w:gutter="0"/>
          <w:pgNumType w:fmt="decimal"/>
          <w:cols w:space="0" w:num="1"/>
          <w:formProt w:val="0"/>
          <w:rtlGutter w:val="0"/>
          <w:docGrid w:type="lines" w:linePitch="318" w:charSpace="0"/>
        </w:sectPr>
      </w:pPr>
    </w:p>
    <w:p>
      <w:pPr>
        <w:spacing w:line="440" w:lineRule="exact"/>
        <w:rPr>
          <w:rFonts w:ascii="仿宋" w:hAnsi="仿宋" w:eastAsia="仿宋" w:cs="仿宋"/>
          <w:sz w:val="32"/>
          <w:szCs w:val="32"/>
        </w:rPr>
      </w:pPr>
      <w:r>
        <w:rPr>
          <w:rFonts w:hint="eastAsia" w:ascii="仿宋" w:hAnsi="仿宋" w:eastAsia="仿宋" w:cs="仿宋"/>
          <w:sz w:val="32"/>
          <w:szCs w:val="32"/>
        </w:rPr>
        <w:t>附件2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shd w:val="clear" w:color="auto" w:fill="FFFFFF"/>
        </w:rPr>
      </w:pPr>
      <w:r>
        <w:rPr>
          <w:rFonts w:hint="eastAsia" w:ascii="宋体" w:hAnsi="宋体" w:cs="宋体"/>
          <w:b/>
          <w:bCs/>
          <w:sz w:val="44"/>
          <w:szCs w:val="44"/>
        </w:rPr>
        <w:t xml:space="preserve">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kern w:val="0"/>
          <w:sz w:val="44"/>
          <w:szCs w:val="44"/>
        </w:rPr>
        <w:t>年“</w:t>
      </w:r>
      <w:r>
        <w:rPr>
          <w:rFonts w:hint="eastAsia" w:ascii="方正小标宋简体" w:hAnsi="方正小标宋简体" w:eastAsia="方正小标宋简体" w:cs="方正小标宋简体"/>
          <w:sz w:val="44"/>
          <w:szCs w:val="44"/>
          <w:shd w:val="clear" w:color="auto" w:fill="FFFFFF"/>
        </w:rPr>
        <w:t>广东省制造业500强”排序</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申报填表说明</w:t>
      </w:r>
    </w:p>
    <w:p>
      <w:pPr>
        <w:keepNext w:val="0"/>
        <w:keepLines w:val="0"/>
        <w:pageBreakBefore w:val="0"/>
        <w:kinsoku/>
        <w:wordWrap/>
        <w:overflowPunct/>
        <w:topLinePunct w:val="0"/>
        <w:autoSpaceDE/>
        <w:autoSpaceDN/>
        <w:bidi w:val="0"/>
        <w:adjustRightInd/>
        <w:snapToGrid/>
        <w:spacing w:line="240" w:lineRule="auto"/>
        <w:ind w:right="-289"/>
        <w:textAlignment w:val="auto"/>
        <w:rPr>
          <w:rFonts w:ascii="仿宋" w:hAnsi="仿宋" w:eastAsia="仿宋" w:cs="仿宋"/>
          <w:sz w:val="15"/>
          <w:szCs w:val="15"/>
        </w:rPr>
      </w:pPr>
      <w:r>
        <w:rPr>
          <w:rFonts w:hint="eastAsia" w:ascii="仿宋" w:hAnsi="仿宋" w:eastAsia="仿宋" w:cs="仿宋"/>
          <w:sz w:val="28"/>
          <w:szCs w:val="28"/>
        </w:rPr>
        <w:t xml:space="preserve">    </w:t>
      </w:r>
    </w:p>
    <w:p>
      <w:pPr>
        <w:keepNext w:val="0"/>
        <w:keepLines w:val="0"/>
        <w:pageBreakBefore w:val="0"/>
        <w:kinsoku/>
        <w:wordWrap/>
        <w:overflowPunct/>
        <w:topLinePunct w:val="0"/>
        <w:autoSpaceDE/>
        <w:autoSpaceDN/>
        <w:bidi w:val="0"/>
        <w:adjustRightInd/>
        <w:snapToGrid/>
        <w:spacing w:line="540" w:lineRule="exact"/>
        <w:ind w:right="-289"/>
        <w:textAlignment w:val="auto"/>
        <w:rPr>
          <w:rFonts w:hint="eastAsia" w:ascii="仿宋_GB2312" w:hAnsi="仿宋_GB2312" w:eastAsia="仿宋_GB2312" w:cs="仿宋_GB2312"/>
          <w:sz w:val="32"/>
          <w:szCs w:val="32"/>
        </w:rPr>
      </w:pPr>
      <w:r>
        <w:rPr>
          <w:rFonts w:hint="eastAsia" w:ascii="仿宋" w:hAnsi="仿宋" w:eastAsia="仿宋" w:cs="仿宋"/>
          <w:sz w:val="28"/>
          <w:szCs w:val="28"/>
        </w:rPr>
        <w:t xml:space="preserve">    </w:t>
      </w:r>
      <w:r>
        <w:rPr>
          <w:rFonts w:eastAsia="仿宋"/>
          <w:sz w:val="30"/>
          <w:szCs w:val="30"/>
        </w:rPr>
        <w:t xml:space="preserve"> </w:t>
      </w:r>
      <w:r>
        <w:rPr>
          <w:rFonts w:hint="eastAsia" w:ascii="黑体" w:hAnsi="黑体" w:eastAsia="黑体" w:cs="黑体"/>
          <w:sz w:val="32"/>
          <w:szCs w:val="32"/>
        </w:rPr>
        <w:t>一、申报表主要栏目填报说明</w:t>
      </w:r>
    </w:p>
    <w:p>
      <w:pPr>
        <w:keepNext w:val="0"/>
        <w:keepLines w:val="0"/>
        <w:pageBreakBefore w:val="0"/>
        <w:kinsoku/>
        <w:wordWrap/>
        <w:overflowPunct/>
        <w:topLinePunct w:val="0"/>
        <w:autoSpaceDE/>
        <w:autoSpaceDN/>
        <w:bidi w:val="0"/>
        <w:adjustRightInd/>
        <w:snapToGrid/>
        <w:spacing w:line="540" w:lineRule="exact"/>
        <w:ind w:right="12"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企业性质栏：请从“国有”、“民营”、“外资”三种性质中选一项打√。国有是指国有及国有控股企业,民营是指集体和私营企业，“外资”是指境外资本（50%以上）在广东境内投资兴办的企业。</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生产的产品或服务栏：指企业生产的主要产品或提供的主要服务，按所属行业分类，根据营业收入的占比由大到小排列，最多不超过3项</w:t>
      </w:r>
      <w:r>
        <w:rPr>
          <w:rFonts w:hint="eastAsia" w:ascii="仿宋_GB2312" w:hAnsi="仿宋_GB2312" w:eastAsia="仿宋_GB2312" w:cs="仿宋_GB2312"/>
          <w:b w:val="0"/>
          <w:bCs w:val="0"/>
          <w:sz w:val="32"/>
          <w:szCs w:val="32"/>
        </w:rPr>
        <w:t>(必须填写)。</w:t>
      </w:r>
    </w:p>
    <w:p>
      <w:pPr>
        <w:pStyle w:val="8"/>
        <w:keepNext w:val="0"/>
        <w:keepLines w:val="0"/>
        <w:pageBreakBefore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指标栏：</w:t>
      </w:r>
      <w:r>
        <w:rPr>
          <w:rFonts w:hint="eastAsia" w:ascii="仿宋_GB2312" w:hAnsi="仿宋_GB2312" w:eastAsia="仿宋_GB2312" w:cs="仿宋_GB2312"/>
          <w:kern w:val="2"/>
          <w:sz w:val="32"/>
          <w:szCs w:val="32"/>
        </w:rPr>
        <w:t>所有指标均按企业合并财务报表和年报的数据填报，金额单位：万元人民币。</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营业收入：不含增值税收入，包括企业的所有收入，即主营业务和非主营业务、境内和境外的收入。</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出口国外营业收入：境外的收入。 </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净利润：利润总额扣除所得税。</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资产总额：年末的资产总额。</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费用：指企业研究开发新产品、新技术、新工艺所发生的各项费用，包括新产品设计费、工艺规程制定费、设备调整费、原材料和半成品的实验费、技术图书资料费、研究机构人员的工资、研究设备的折旧、新产品的试制、技术研究有关的其他经费以及委托其他单位进行科研试制的费用。</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员工总数：年度平均从业人数（含所有被合并报表企业的人数）。           </w:t>
      </w:r>
    </w:p>
    <w:p>
      <w:pPr>
        <w:keepNext w:val="0"/>
        <w:keepLines w:val="0"/>
        <w:pageBreakBefore w:val="0"/>
        <w:kinsoku/>
        <w:wordWrap/>
        <w:overflowPunct/>
        <w:topLinePunct w:val="0"/>
        <w:autoSpaceDE/>
        <w:autoSpaceDN/>
        <w:bidi w:val="0"/>
        <w:adjustRightInd/>
        <w:snapToGrid/>
        <w:spacing w:line="540" w:lineRule="exact"/>
        <w:ind w:right="-28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科技人员比率：科技人员人数/公司总人数。</w:t>
      </w:r>
    </w:p>
    <w:p>
      <w:pPr>
        <w:keepNext w:val="0"/>
        <w:keepLines w:val="0"/>
        <w:pageBreakBefore w:val="0"/>
        <w:kinsoku/>
        <w:wordWrap/>
        <w:overflowPunct/>
        <w:topLinePunct w:val="0"/>
        <w:autoSpaceDE/>
        <w:autoSpaceDN/>
        <w:bidi w:val="0"/>
        <w:adjustRightInd/>
        <w:snapToGrid/>
        <w:spacing w:line="540" w:lineRule="exact"/>
        <w:ind w:right="-287"/>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企业信息栏：请按照要求填写或打√。</w:t>
      </w:r>
    </w:p>
    <w:p>
      <w:pPr>
        <w:keepNext w:val="0"/>
        <w:keepLines w:val="0"/>
        <w:pageBreakBefore w:val="0"/>
        <w:kinsoku/>
        <w:wordWrap/>
        <w:overflowPunct/>
        <w:topLinePunct w:val="0"/>
        <w:autoSpaceDE/>
        <w:autoSpaceDN/>
        <w:bidi w:val="0"/>
        <w:adjustRightInd/>
        <w:snapToGrid/>
        <w:spacing w:line="540" w:lineRule="exact"/>
        <w:ind w:right="-287"/>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所有填报栏目一定要填全，资料要仔细核对，保证名称及数据的准确性，并请签字、盖章。</w:t>
      </w:r>
    </w:p>
    <w:p>
      <w:pPr>
        <w:keepNext w:val="0"/>
        <w:keepLines w:val="0"/>
        <w:pageBreakBefore w:val="0"/>
        <w:kinsoku/>
        <w:wordWrap/>
        <w:overflowPunct/>
        <w:topLinePunct w:val="0"/>
        <w:autoSpaceDE/>
        <w:autoSpaceDN/>
        <w:bidi w:val="0"/>
        <w:adjustRightInd/>
        <w:snapToGrid/>
        <w:spacing w:line="540" w:lineRule="exact"/>
        <w:ind w:right="-287"/>
        <w:textAlignment w:val="auto"/>
        <w:rPr>
          <w:rFonts w:hint="eastAsia" w:ascii="黑体" w:hAnsi="黑体" w:eastAsia="黑体" w:cs="黑体"/>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32"/>
          <w:szCs w:val="32"/>
        </w:rPr>
        <w:t>二、制造业企业所属行业分类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业分类包括：1.农副食品及农产品加工业；2.食品加工制造业；3.乳制品加工业；4.饮料加工业；5.酿酒制造业；6.烟草加工业；7.纺织、印染业；8.纺织品、服装、鞋帽、服饰加工业；9.肉食品加工业；10.木材、家具等产品业加工业；11.造纸及纸制品加工业；12.生活消费品（含家用、文体、玩具、工艺品、珠宝等）加工制造业；13.石化产品、炼焦及其他燃料加工业；14.化学原料及化学制品制造业；15.医药、医疗设备制造业；16.化学纤维制造业；17.橡胶制品业；18.塑料制品业；19.建材及玻璃等制造业；20.黑色冶金及压延加工业；21.一般有色冶金及压延加工业；22.金属制品、加工工具、工业辅助产品加工制造业；23.工程机械、设备及零配件制造业；24.工业机械、设备及零配件制造业；25.农林业机械、设备及零配件制造业；26.电力、电气等设备、机械、元器件及线缆制造业；27.电梯及运输、仓储设备、设施制造业；28.轨道交通设备及零部件制造业；29.家用电器及零配件制造业；30.黄金冶炼及压延业；31.电子元器件与仪器仪表、自动化控制设备制造业；32.计算机及零部件制造业；33.通讯器材及设备、元器件制造业；34.办公、影像等电子设备、元器件制造业；35.汽车及零配件制造业；36.摩托车及零配件制造业；37.航空航天及国防军工业；38.船舶工业；39.动力、电力生产等、40.设备制造业；41.综合制造业（以制造业为主，含有服务业）；42.其他制造加工业。</w:t>
      </w:r>
    </w:p>
    <w:p>
      <w:pPr>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pacing w:val="-11"/>
          <w:sz w:val="32"/>
          <w:szCs w:val="32"/>
          <w:lang w:val="en-US" w:eastAsia="zh-CN"/>
        </w:rPr>
        <w:t>附件3</w:t>
      </w:r>
    </w:p>
    <w:p>
      <w:pPr>
        <w:jc w:val="center"/>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t>历届“广东省制造业500强”排序发布情况</w:t>
      </w:r>
    </w:p>
    <w:p>
      <w:pPr>
        <w:pStyle w:val="2"/>
        <w:keepNext w:val="0"/>
        <w:keepLines w:val="0"/>
        <w:pageBreakBefore w:val="0"/>
        <w:widowControl w:val="0"/>
        <w:kinsoku/>
        <w:wordWrap/>
        <w:overflowPunct/>
        <w:topLinePunct w:val="0"/>
        <w:autoSpaceDE/>
        <w:autoSpaceDN/>
        <w:bidi w:val="0"/>
        <w:adjustRightInd/>
        <w:snapToGrid/>
        <w:spacing w:line="520" w:lineRule="exact"/>
        <w:ind w:firstLine="68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制造业协会自2013年以来，在省工信厅省发展和改革委、省商务厅的指导下，已连续10年联合广东省发展和改革研究院（副厅级单位）、广东省社会科学院企业研究所、暨南大学产业经济研究院等政府研究机构，先后共同开展“广东省制造业500强”企业排序分析研究报告发布活动。</w:t>
      </w:r>
    </w:p>
    <w:p>
      <w:pPr>
        <w:pStyle w:val="2"/>
        <w:keepNext w:val="0"/>
        <w:keepLines w:val="0"/>
        <w:pageBreakBefore w:val="0"/>
        <w:widowControl w:val="0"/>
        <w:kinsoku/>
        <w:wordWrap/>
        <w:overflowPunct/>
        <w:topLinePunct w:val="0"/>
        <w:autoSpaceDE/>
        <w:autoSpaceDN/>
        <w:bidi w:val="0"/>
        <w:adjustRightInd/>
        <w:snapToGrid/>
        <w:spacing w:line="520" w:lineRule="exact"/>
        <w:ind w:firstLine="68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制造业500强企业排序发布，企业自愿申报、不收取企业任何报名费和评审费，并免费给获评年度500强企业颁发证书。企业申报历年都是各地市工业和信息化局协助组织推荐企业申报。排序原则参照世界500强及中国制造业500强企业排序分析研究通行方法，以企业年度营业收入为主要排序依据，坚持“科学、权威、专业、公正、”的排序原则，由专家审核委员会专家会议审定发布。</w:t>
      </w:r>
    </w:p>
    <w:p>
      <w:pPr>
        <w:pStyle w:val="2"/>
        <w:keepNext w:val="0"/>
        <w:keepLines w:val="0"/>
        <w:pageBreakBefore w:val="0"/>
        <w:widowControl w:val="0"/>
        <w:kinsoku/>
        <w:wordWrap/>
        <w:overflowPunct/>
        <w:topLinePunct w:val="0"/>
        <w:autoSpaceDE/>
        <w:autoSpaceDN/>
        <w:bidi w:val="0"/>
        <w:adjustRightInd/>
        <w:snapToGrid/>
        <w:spacing w:line="520" w:lineRule="exact"/>
        <w:ind w:firstLine="68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省工信厅、省发展和改革委、省商务厅为历年广东省制造业500强企业排序发布活动的指导单位，每年派出有关领导出席活动并致辞。珠海市、东莞市、中山市等地方政府曾作为发布活动支持单位，对发布活动会务工作提供鼎力支持。</w:t>
      </w:r>
    </w:p>
    <w:p>
      <w:pPr>
        <w:pStyle w:val="2"/>
        <w:keepNext w:val="0"/>
        <w:keepLines w:val="0"/>
        <w:pageBreakBefore w:val="0"/>
        <w:widowControl w:val="0"/>
        <w:kinsoku/>
        <w:wordWrap/>
        <w:overflowPunct/>
        <w:topLinePunct w:val="0"/>
        <w:autoSpaceDE/>
        <w:autoSpaceDN/>
        <w:bidi w:val="0"/>
        <w:adjustRightInd/>
        <w:snapToGrid/>
        <w:spacing w:line="520" w:lineRule="exact"/>
        <w:ind w:firstLine="68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制造业企业500强排序研究报告》，从深层次全方位挖掘我省各地市县（区）制造业大企业发展情况，真实反映入选500强企业的营业情况，为我省市政府及相关职能部门掌握我省制造业大企业发展状况提供决策参考。同时，该研究报告每年按省工信厅指导意见报送省政府有关领导、报送各地市政府、省市有关政府职能部门。</w:t>
      </w:r>
    </w:p>
    <w:p>
      <w:pPr>
        <w:pStyle w:val="2"/>
        <w:jc w:val="center"/>
        <w:rPr>
          <w:rFonts w:hint="eastAsia"/>
          <w:lang w:val="en-US" w:eastAsia="zh-CN"/>
        </w:rPr>
      </w:pPr>
      <w:r>
        <w:rPr>
          <w:rFonts w:hint="eastAsia"/>
          <w:lang w:val="en-US" w:eastAsia="zh-CN"/>
        </w:rPr>
        <w:drawing>
          <wp:inline distT="0" distB="0" distL="114300" distR="114300">
            <wp:extent cx="5756910" cy="7654925"/>
            <wp:effectExtent l="0" t="0" r="15240" b="3175"/>
            <wp:docPr id="24" name="图片 24" descr="DSC_082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SC_0826_副本"/>
                    <pic:cNvPicPr>
                      <a:picLocks noChangeAspect="1"/>
                    </pic:cNvPicPr>
                  </pic:nvPicPr>
                  <pic:blipFill>
                    <a:blip r:embed="rId9"/>
                    <a:stretch>
                      <a:fillRect/>
                    </a:stretch>
                  </pic:blipFill>
                  <pic:spPr>
                    <a:xfrm>
                      <a:off x="0" y="0"/>
                      <a:ext cx="5756910" cy="7654925"/>
                    </a:xfrm>
                    <a:prstGeom prst="rect">
                      <a:avLst/>
                    </a:prstGeom>
                  </pic:spPr>
                </pic:pic>
              </a:graphicData>
            </a:graphic>
          </wp:inline>
        </w:drawing>
      </w:r>
      <w:r>
        <w:rPr>
          <w:rFonts w:hint="eastAsia"/>
          <w:lang w:val="en-US" w:eastAsia="zh-CN"/>
        </w:rPr>
        <w:drawing>
          <wp:inline distT="0" distB="0" distL="114300" distR="114300">
            <wp:extent cx="5754370" cy="8157210"/>
            <wp:effectExtent l="0" t="0" r="17780" b="15240"/>
            <wp:docPr id="23" name="图片 23" descr="108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8_副本_副本"/>
                    <pic:cNvPicPr>
                      <a:picLocks noChangeAspect="1"/>
                    </pic:cNvPicPr>
                  </pic:nvPicPr>
                  <pic:blipFill>
                    <a:blip r:embed="rId10"/>
                    <a:stretch>
                      <a:fillRect/>
                    </a:stretch>
                  </pic:blipFill>
                  <pic:spPr>
                    <a:xfrm>
                      <a:off x="0" y="0"/>
                      <a:ext cx="5754370" cy="8157210"/>
                    </a:xfrm>
                    <a:prstGeom prst="rect">
                      <a:avLst/>
                    </a:prstGeom>
                  </pic:spPr>
                </pic:pic>
              </a:graphicData>
            </a:graphic>
          </wp:inline>
        </w:drawing>
      </w:r>
    </w:p>
    <w:p>
      <w:pPr>
        <w:pStyle w:val="2"/>
        <w:jc w:val="center"/>
        <w:rPr>
          <w:rFonts w:hint="eastAsia" w:eastAsia="宋体"/>
          <w:lang w:eastAsia="zh-CN"/>
        </w:rPr>
      </w:pPr>
      <w:r>
        <w:rPr>
          <w:rFonts w:hint="eastAsia" w:ascii="宋体" w:hAnsi="宋体" w:eastAsia="宋体" w:cs="Times New Roman"/>
          <w:kern w:val="2"/>
          <w:sz w:val="24"/>
          <w:szCs w:val="24"/>
          <w:lang w:val="en-US" w:eastAsia="zh-CN" w:bidi="ar-SA"/>
        </w:rPr>
        <w:drawing>
          <wp:inline distT="0" distB="0" distL="114300" distR="114300">
            <wp:extent cx="5924550" cy="7908925"/>
            <wp:effectExtent l="0" t="0" r="0" b="15875"/>
            <wp:docPr id="7" name="图片 7" descr="YWB_672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WB_6729_副本"/>
                    <pic:cNvPicPr>
                      <a:picLocks noChangeAspect="1"/>
                    </pic:cNvPicPr>
                  </pic:nvPicPr>
                  <pic:blipFill>
                    <a:blip r:embed="rId11"/>
                    <a:stretch>
                      <a:fillRect/>
                    </a:stretch>
                  </pic:blipFill>
                  <pic:spPr>
                    <a:xfrm>
                      <a:off x="0" y="0"/>
                      <a:ext cx="5924550" cy="790892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758180" cy="7675880"/>
            <wp:effectExtent l="0" t="0" r="13970" b="1270"/>
            <wp:docPr id="10" name="图片 10" descr="35267b8a8a1531eba6c8c8c9743c017f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5267b8a8a1531eba6c8c8c9743c017f_副本"/>
                    <pic:cNvPicPr>
                      <a:picLocks noChangeAspect="1"/>
                    </pic:cNvPicPr>
                  </pic:nvPicPr>
                  <pic:blipFill>
                    <a:blip r:embed="rId12"/>
                    <a:stretch>
                      <a:fillRect/>
                    </a:stretch>
                  </pic:blipFill>
                  <pic:spPr>
                    <a:xfrm>
                      <a:off x="0" y="0"/>
                      <a:ext cx="5758180" cy="767588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756275" cy="8877935"/>
            <wp:effectExtent l="0" t="0" r="15875" b="18415"/>
            <wp:docPr id="12" name="图片 12" descr="58f593e91676d2f4b2ff595cd852211f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f593e91676d2f4b2ff595cd852211f_副本"/>
                    <pic:cNvPicPr>
                      <a:picLocks noChangeAspect="1"/>
                    </pic:cNvPicPr>
                  </pic:nvPicPr>
                  <pic:blipFill>
                    <a:blip r:embed="rId13"/>
                    <a:stretch>
                      <a:fillRect/>
                    </a:stretch>
                  </pic:blipFill>
                  <pic:spPr>
                    <a:xfrm>
                      <a:off x="0" y="0"/>
                      <a:ext cx="5756275" cy="8877935"/>
                    </a:xfrm>
                    <a:prstGeom prst="rect">
                      <a:avLst/>
                    </a:prstGeom>
                  </pic:spPr>
                </pic:pic>
              </a:graphicData>
            </a:graphic>
          </wp:inline>
        </w:drawing>
      </w:r>
      <w:r>
        <w:rPr>
          <w:rFonts w:hint="eastAsia" w:ascii="仿宋" w:hAnsi="仿宋" w:eastAsia="仿宋" w:cs="仿宋"/>
          <w:b w:val="0"/>
          <w:bCs w:val="0"/>
          <w:sz w:val="32"/>
          <w:szCs w:val="32"/>
          <w:lang w:val="en-US" w:eastAsia="zh-CN"/>
        </w:rPr>
        <w:drawing>
          <wp:inline distT="0" distB="0" distL="114300" distR="114300">
            <wp:extent cx="5758815" cy="8390255"/>
            <wp:effectExtent l="0" t="0" r="13335" b="10795"/>
            <wp:docPr id="13" name="图片 13" descr="164d7b6af8ba35abe4b27e88373d823a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d7b6af8ba35abe4b27e88373d823a_副本"/>
                    <pic:cNvPicPr>
                      <a:picLocks noChangeAspect="1"/>
                    </pic:cNvPicPr>
                  </pic:nvPicPr>
                  <pic:blipFill>
                    <a:blip r:embed="rId14"/>
                    <a:stretch>
                      <a:fillRect/>
                    </a:stretch>
                  </pic:blipFill>
                  <pic:spPr>
                    <a:xfrm>
                      <a:off x="0" y="0"/>
                      <a:ext cx="5758815" cy="8390255"/>
                    </a:xfrm>
                    <a:prstGeom prst="rect">
                      <a:avLst/>
                    </a:prstGeom>
                  </pic:spPr>
                </pic:pic>
              </a:graphicData>
            </a:graphic>
          </wp:inline>
        </w:drawing>
      </w:r>
      <w:r>
        <w:rPr>
          <w:rFonts w:hint="eastAsia" w:ascii="仿宋" w:hAnsi="仿宋" w:eastAsia="仿宋" w:cs="仿宋"/>
          <w:b w:val="0"/>
          <w:bCs w:val="0"/>
          <w:sz w:val="32"/>
          <w:szCs w:val="32"/>
          <w:lang w:val="en-US" w:eastAsia="zh-CN"/>
        </w:rPr>
        <w:drawing>
          <wp:inline distT="0" distB="0" distL="114300" distR="114300">
            <wp:extent cx="5341620" cy="8858250"/>
            <wp:effectExtent l="0" t="0" r="11430" b="0"/>
            <wp:docPr id="14" name="图片 14" descr="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_副本"/>
                    <pic:cNvPicPr>
                      <a:picLocks noChangeAspect="1"/>
                    </pic:cNvPicPr>
                  </pic:nvPicPr>
                  <pic:blipFill>
                    <a:blip r:embed="rId15"/>
                    <a:stretch>
                      <a:fillRect/>
                    </a:stretch>
                  </pic:blipFill>
                  <pic:spPr>
                    <a:xfrm>
                      <a:off x="0" y="0"/>
                      <a:ext cx="5341620" cy="8858250"/>
                    </a:xfrm>
                    <a:prstGeom prst="rect">
                      <a:avLst/>
                    </a:prstGeom>
                  </pic:spPr>
                </pic:pic>
              </a:graphicData>
            </a:graphic>
          </wp:inline>
        </w:drawing>
      </w:r>
      <w:r>
        <w:rPr>
          <w:rFonts w:hint="eastAsia" w:eastAsia="宋体"/>
          <w:lang w:eastAsia="zh-CN"/>
        </w:rPr>
        <w:drawing>
          <wp:inline distT="0" distB="0" distL="114300" distR="114300">
            <wp:extent cx="5218430" cy="8801100"/>
            <wp:effectExtent l="0" t="0" r="1270" b="0"/>
            <wp:docPr id="15" name="图片 15" descr="图片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8_副本"/>
                    <pic:cNvPicPr>
                      <a:picLocks noChangeAspect="1"/>
                    </pic:cNvPicPr>
                  </pic:nvPicPr>
                  <pic:blipFill>
                    <a:blip r:embed="rId16"/>
                    <a:stretch>
                      <a:fillRect/>
                    </a:stretch>
                  </pic:blipFill>
                  <pic:spPr>
                    <a:xfrm>
                      <a:off x="0" y="0"/>
                      <a:ext cx="5218430" cy="8801100"/>
                    </a:xfrm>
                    <a:prstGeom prst="rect">
                      <a:avLst/>
                    </a:prstGeom>
                  </pic:spPr>
                </pic:pic>
              </a:graphicData>
            </a:graphic>
          </wp:inline>
        </w:drawing>
      </w:r>
    </w:p>
    <w:p>
      <w:pPr>
        <w:jc w:val="center"/>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drawing>
          <wp:inline distT="0" distB="0" distL="114300" distR="114300">
            <wp:extent cx="5380355" cy="8883650"/>
            <wp:effectExtent l="0" t="0" r="10795" b="12700"/>
            <wp:docPr id="16" name="图片 16" descr="图片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3_副本"/>
                    <pic:cNvPicPr>
                      <a:picLocks noChangeAspect="1"/>
                    </pic:cNvPicPr>
                  </pic:nvPicPr>
                  <pic:blipFill>
                    <a:blip r:embed="rId17"/>
                    <a:stretch>
                      <a:fillRect/>
                    </a:stretch>
                  </pic:blipFill>
                  <pic:spPr>
                    <a:xfrm>
                      <a:off x="0" y="0"/>
                      <a:ext cx="5380355" cy="8883650"/>
                    </a:xfrm>
                    <a:prstGeom prst="rect">
                      <a:avLst/>
                    </a:prstGeom>
                  </pic:spPr>
                </pic:pic>
              </a:graphicData>
            </a:graphic>
          </wp:inline>
        </w:drawing>
      </w:r>
    </w:p>
    <w:p>
      <w:pPr>
        <w:pStyle w:val="2"/>
        <w:rPr>
          <w:rFonts w:hint="eastAsia"/>
          <w:lang w:val="en-US" w:eastAsia="zh-CN"/>
        </w:rPr>
      </w:pPr>
      <w:r>
        <w:rPr>
          <w:rFonts w:hint="default" w:ascii="仿宋_GB2312" w:hAnsi="仿宋_GB2312" w:eastAsia="仿宋_GB2312" w:cs="仿宋_GB2312"/>
          <w:sz w:val="32"/>
          <w:szCs w:val="32"/>
          <w:lang w:val="en-US" w:eastAsia="zh-CN"/>
        </w:rPr>
        <w:drawing>
          <wp:inline distT="0" distB="0" distL="114300" distR="114300">
            <wp:extent cx="5758180" cy="3839210"/>
            <wp:effectExtent l="0" t="0" r="13970" b="8890"/>
            <wp:docPr id="5" name="图片 5" descr="mmexport6f1f0f513b7442fd3a7d3e32c24cd968_167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6f1f0f513b7442fd3a7d3e32c24cd968_1672227"/>
                    <pic:cNvPicPr>
                      <a:picLocks noChangeAspect="1"/>
                    </pic:cNvPicPr>
                  </pic:nvPicPr>
                  <pic:blipFill>
                    <a:blip r:embed="rId18"/>
                    <a:stretch>
                      <a:fillRect/>
                    </a:stretch>
                  </pic:blipFill>
                  <pic:spPr>
                    <a:xfrm>
                      <a:off x="0" y="0"/>
                      <a:ext cx="5758180" cy="3839210"/>
                    </a:xfrm>
                    <a:prstGeom prst="rect">
                      <a:avLst/>
                    </a:prstGeom>
                  </pic:spPr>
                </pic:pic>
              </a:graphicData>
            </a:graphic>
          </wp:inline>
        </w:drawing>
      </w:r>
      <w:r>
        <w:rPr>
          <w:rFonts w:hint="eastAsia"/>
          <w:lang w:val="en-US" w:eastAsia="zh-CN"/>
        </w:rPr>
        <w:drawing>
          <wp:inline distT="0" distB="0" distL="114300" distR="114300">
            <wp:extent cx="5753735" cy="4391025"/>
            <wp:effectExtent l="0" t="0" r="18415" b="9525"/>
            <wp:docPr id="9" name="图片 9" descr="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_副本"/>
                    <pic:cNvPicPr>
                      <a:picLocks noChangeAspect="1"/>
                    </pic:cNvPicPr>
                  </pic:nvPicPr>
                  <pic:blipFill>
                    <a:blip r:embed="rId19"/>
                    <a:stretch>
                      <a:fillRect/>
                    </a:stretch>
                  </pic:blipFill>
                  <pic:spPr>
                    <a:xfrm>
                      <a:off x="0" y="0"/>
                      <a:ext cx="5753735" cy="4391025"/>
                    </a:xfrm>
                    <a:prstGeom prst="rect">
                      <a:avLst/>
                    </a:prstGeom>
                  </pic:spPr>
                </pic:pic>
              </a:graphicData>
            </a:graphic>
          </wp:inline>
        </w:drawing>
      </w:r>
    </w:p>
    <w:p>
      <w:pPr>
        <w:jc w:val="center"/>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drawing>
          <wp:inline distT="0" distB="0" distL="114300" distR="114300">
            <wp:extent cx="5546725" cy="8905875"/>
            <wp:effectExtent l="0" t="0" r="15875" b="9525"/>
            <wp:docPr id="11" name="图片 11" descr="11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1_副本"/>
                    <pic:cNvPicPr>
                      <a:picLocks noChangeAspect="1"/>
                    </pic:cNvPicPr>
                  </pic:nvPicPr>
                  <pic:blipFill>
                    <a:blip r:embed="rId20"/>
                    <a:stretch>
                      <a:fillRect/>
                    </a:stretch>
                  </pic:blipFill>
                  <pic:spPr>
                    <a:xfrm>
                      <a:off x="0" y="0"/>
                      <a:ext cx="5546725" cy="8905875"/>
                    </a:xfrm>
                    <a:prstGeom prst="rect">
                      <a:avLst/>
                    </a:prstGeom>
                  </pic:spPr>
                </pic:pic>
              </a:graphicData>
            </a:graphic>
          </wp:inline>
        </w:drawing>
      </w:r>
    </w:p>
    <w:sectPr>
      <w:pgSz w:w="11906" w:h="16838"/>
      <w:pgMar w:top="1587" w:right="1417" w:bottom="1134" w:left="1417" w:header="851" w:footer="992" w:gutter="0"/>
      <w:pgNumType w:fmt="decimal"/>
      <w:cols w:space="720" w:num="1"/>
      <w:formProt w:val="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forms" w:enforcement="1" w:cryptProviderType="rsaFull" w:cryptAlgorithmClass="hash" w:cryptAlgorithmType="typeAny" w:cryptAlgorithmSid="4" w:cryptSpinCount="0" w:hash="SiL0PbHeR9akzwGQLRh6txRxYbE=" w:salt="bZyjM7VCyaBBEXoWfdsYFA=="/>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3ODAzMjFlNzE4YTA1ODAwYTkzYThiOWUzZDQyZTIifQ=="/>
  </w:docVars>
  <w:rsids>
    <w:rsidRoot w:val="39B45397"/>
    <w:rsid w:val="060D3637"/>
    <w:rsid w:val="062F6A41"/>
    <w:rsid w:val="07757E23"/>
    <w:rsid w:val="07F84621"/>
    <w:rsid w:val="0BE94F12"/>
    <w:rsid w:val="0D66368E"/>
    <w:rsid w:val="0F3D0A31"/>
    <w:rsid w:val="12116DC7"/>
    <w:rsid w:val="12125507"/>
    <w:rsid w:val="12E446E0"/>
    <w:rsid w:val="191E2144"/>
    <w:rsid w:val="1A2C28D0"/>
    <w:rsid w:val="31720EB1"/>
    <w:rsid w:val="324529CA"/>
    <w:rsid w:val="33455E43"/>
    <w:rsid w:val="34A57D4B"/>
    <w:rsid w:val="34CC52D7"/>
    <w:rsid w:val="39B45397"/>
    <w:rsid w:val="3A4702A5"/>
    <w:rsid w:val="3B844933"/>
    <w:rsid w:val="3F393AD3"/>
    <w:rsid w:val="413E130B"/>
    <w:rsid w:val="43D9356D"/>
    <w:rsid w:val="4A7638C4"/>
    <w:rsid w:val="585E4F06"/>
    <w:rsid w:val="59C04B5B"/>
    <w:rsid w:val="5B94004E"/>
    <w:rsid w:val="5C2522EE"/>
    <w:rsid w:val="5D321BF2"/>
    <w:rsid w:val="602D67BE"/>
    <w:rsid w:val="613E2F72"/>
    <w:rsid w:val="61AE7EC8"/>
    <w:rsid w:val="656B2999"/>
    <w:rsid w:val="669F3D3A"/>
    <w:rsid w:val="66A97F3B"/>
    <w:rsid w:val="676D784C"/>
    <w:rsid w:val="6E896C01"/>
    <w:rsid w:val="6E8A03A5"/>
    <w:rsid w:val="6F3B7994"/>
    <w:rsid w:val="7502333A"/>
    <w:rsid w:val="759011EB"/>
    <w:rsid w:val="780E2ADE"/>
    <w:rsid w:val="783510EA"/>
    <w:rsid w:val="78BB3C7E"/>
    <w:rsid w:val="7AAB0067"/>
    <w:rsid w:val="7D165ACF"/>
    <w:rsid w:val="7D6A4784"/>
    <w:rsid w:val="7DD97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customStyle="1" w:styleId="7">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8">
    <w:name w:val="Body Text Indent 2"/>
    <w:basedOn w:val="1"/>
    <w:qFormat/>
    <w:uiPriority w:val="0"/>
    <w:pPr>
      <w:widowControl/>
      <w:spacing w:line="440" w:lineRule="exact"/>
      <w:ind w:right="-289" w:firstLine="570"/>
      <w:jc w:val="left"/>
    </w:pPr>
    <w:rPr>
      <w:rFonts w:ascii="仿宋_GB2312" w:eastAsia="仿宋_GB2312"/>
      <w:kern w:val="0"/>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GIF"/><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3498</Words>
  <Characters>3818</Characters>
  <Lines>0</Lines>
  <Paragraphs>0</Paragraphs>
  <TotalTime>1</TotalTime>
  <ScaleCrop>false</ScaleCrop>
  <LinksUpToDate>false</LinksUpToDate>
  <CharactersWithSpaces>4154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2022-04-21T07:04:00Z</dcterms:created>
  <dc:creator>鄭颖虫文</dc:creator>
  <cp:lastModifiedBy>鄭颖虫文</cp:lastModifiedBy>
  <dcterms:modified xsi:type="dcterms:W3CDTF">2023-03-15T07:54:23Z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1C946B2EE301428AA21762D807B30B83</vt:lpwstr>
  </property>
</Properties>
</file>